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41 13 </w:t>
      </w:r>
    </w:p>
    <w:p>
      <w:pPr>
        <w:pStyle w:val="HdgSection"/>
        <w:rPr>
          <w:rFonts w:ascii="Calibri" w:hAnsi="Calibri" w:cs="Calibri"/>
          <w:sz w:val="24"/>
          <w:szCs w:val="24"/>
        </w:rPr>
      </w:pPr>
      <w:r>
        <w:rPr>
          <w:rFonts w:cs="Calibri" w:ascii="Calibri" w:hAnsi="Calibri"/>
          <w:sz w:val="24"/>
          <w:szCs w:val="24"/>
        </w:rPr>
        <w:t>METAL roof PANELS</w:t>
      </w:r>
    </w:p>
    <w:p>
      <w:pPr>
        <w:pStyle w:val="HdgSection"/>
        <w:rPr>
          <w:rFonts w:ascii="Calibri" w:hAnsi="Calibri" w:cs="Calibri"/>
          <w:sz w:val="24"/>
          <w:szCs w:val="24"/>
        </w:rPr>
      </w:pPr>
      <w:r>
        <w:rPr>
          <w:rFonts w:cs="Calibri" w:ascii="Calibri" w:hAnsi="Calibri"/>
          <w:sz w:val="24"/>
          <w:szCs w:val="24"/>
        </w:rPr>
        <w:t>Milan</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56"/>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4"/>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6"/>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68"/>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1"/>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69"/>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35"/>
        </w:numPr>
        <w:rPr>
          <w:rFonts w:ascii="Calibri" w:hAnsi="Calibri" w:cs="Calibri"/>
          <w:sz w:val="24"/>
          <w:szCs w:val="24"/>
        </w:rPr>
      </w:pPr>
      <w:r>
        <w:rPr>
          <w:rFonts w:cs="Calibri" w:ascii="Calibri" w:hAnsi="Calibri"/>
          <w:sz w:val="24"/>
          <w:szCs w:val="24"/>
        </w:rPr>
        <w:t>Uplift Tests: UL 1897</w:t>
      </w:r>
    </w:p>
    <w:p>
      <w:pPr>
        <w:pStyle w:val="Normal"/>
        <w:numPr>
          <w:ilvl w:val="0"/>
          <w:numId w:val="35"/>
        </w:numPr>
        <w:rPr>
          <w:rFonts w:ascii="Calibri" w:hAnsi="Calibri" w:cs="Calibri"/>
          <w:sz w:val="24"/>
          <w:szCs w:val="24"/>
        </w:rPr>
      </w:pPr>
      <w:r>
        <w:rPr>
          <w:rFonts w:cs="Calibri" w:ascii="Calibri" w:hAnsi="Calibri"/>
          <w:sz w:val="24"/>
          <w:szCs w:val="24"/>
        </w:rPr>
        <w:t xml:space="preserve">Fire Resistance:  UL 790 </w:t>
      </w:r>
    </w:p>
    <w:p>
      <w:pPr>
        <w:pStyle w:val="Normal"/>
        <w:numPr>
          <w:ilvl w:val="0"/>
          <w:numId w:val="35"/>
        </w:numPr>
        <w:rPr>
          <w:rFonts w:ascii="Calibri" w:hAnsi="Calibri" w:cs="Calibri"/>
          <w:sz w:val="24"/>
          <w:szCs w:val="24"/>
        </w:rPr>
      </w:pPr>
      <w:r>
        <w:rPr>
          <w:rFonts w:cs="Calibri" w:ascii="Calibri" w:hAnsi="Calibri"/>
          <w:sz w:val="24"/>
          <w:szCs w:val="24"/>
        </w:rPr>
        <w:t>Florida State Approval</w:t>
      </w:r>
    </w:p>
    <w:p>
      <w:pPr>
        <w:pStyle w:val="Normal"/>
        <w:numPr>
          <w:ilvl w:val="0"/>
          <w:numId w:val="35"/>
        </w:numPr>
        <w:rPr>
          <w:rFonts w:ascii="Calibri" w:hAnsi="Calibri" w:cs="Calibri"/>
          <w:sz w:val="24"/>
          <w:szCs w:val="24"/>
        </w:rPr>
      </w:pPr>
      <w:r>
        <w:rPr>
          <w:rFonts w:cs="Calibri" w:ascii="Calibri" w:hAnsi="Calibri"/>
          <w:sz w:val="24"/>
          <w:szCs w:val="24"/>
        </w:rPr>
        <w:t>Texas Department of Insurance</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56"/>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3"/>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3"/>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3"/>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4"/>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19"/>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3"/>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3"/>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3"/>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1"/>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8"/>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7"/>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7"/>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3"/>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3"/>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5"/>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5"/>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5"/>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6"/>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6"/>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7"/>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7"/>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0"/>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9"/>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2"/>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2"/>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7"/>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2"/>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6"/>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6"/>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Panels-Milan.</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8"/>
        </w:numPr>
        <w:rPr>
          <w:rFonts w:ascii="Calibri" w:hAnsi="Calibri" w:cs="Calibri"/>
          <w:sz w:val="24"/>
          <w:szCs w:val="24"/>
        </w:rPr>
      </w:pPr>
      <w:r>
        <w:rPr>
          <w:rFonts w:cs="Calibri" w:ascii="Calibri" w:hAnsi="Calibri"/>
          <w:sz w:val="24"/>
          <w:szCs w:val="24"/>
        </w:rPr>
        <w:t>Basis of Design Product: Subject to compliance with requirements provide McElroy Metal Milan.</w:t>
      </w:r>
    </w:p>
    <w:p>
      <w:pPr>
        <w:pStyle w:val="Normal"/>
        <w:widowControl/>
        <w:numPr>
          <w:ilvl w:val="1"/>
          <w:numId w:val="38"/>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4"/>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4"/>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6"/>
        </w:numPr>
        <w:ind w:hanging="0" w:left="0"/>
        <w:jc w:val="both"/>
        <w:rPr>
          <w:rFonts w:ascii="Calibri" w:hAnsi="Calibri" w:cs="Calibri"/>
          <w:sz w:val="24"/>
          <w:szCs w:val="24"/>
        </w:rPr>
      </w:pPr>
      <w:r>
        <w:rPr>
          <w:rFonts w:cs="Calibri" w:ascii="Calibri" w:hAnsi="Calibri"/>
          <w:sz w:val="24"/>
          <w:szCs w:val="24"/>
        </w:rPr>
        <w:t>McElroy Metal Milan Panel:</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504" w:left="504" w:right="0"/>
        <w:jc w:val="both"/>
        <w:rPr>
          <w:rFonts w:ascii="Calibri" w:hAnsi="Calibri" w:cs="Calibri"/>
          <w:color w:val="FF0000"/>
          <w:sz w:val="24"/>
          <w:szCs w:val="24"/>
        </w:rPr>
      </w:pPr>
      <w:bookmarkStart w:id="0" w:name="OLE_LINK1"/>
      <w:bookmarkEnd w:id="0"/>
      <w:r>
        <w:rPr>
          <w:rFonts w:cs="Calibri" w:ascii="Calibri" w:hAnsi="Calibri"/>
          <w:color w:val="FF0000"/>
          <w:sz w:val="24"/>
          <w:szCs w:val="24"/>
        </w:rPr>
        <w:tab/>
        <w:tab/>
        <w:tab/>
        <w:t>Specifier Note: Edit paragraph below as appropriate</w:t>
      </w:r>
    </w:p>
    <w:p>
      <w:pPr>
        <w:pStyle w:val="ManuSpec2"/>
        <w:numPr>
          <w:ilvl w:val="0"/>
          <w:numId w:val="0"/>
        </w:numPr>
        <w:ind w:hanging="504" w:left="504"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56"/>
        </w:numPr>
        <w:ind w:hanging="0" w:left="0"/>
        <w:jc w:val="both"/>
        <w:rPr>
          <w:rFonts w:ascii="Calibri" w:hAnsi="Calibri" w:cs="Calibri"/>
          <w:sz w:val="24"/>
          <w:szCs w:val="24"/>
        </w:rPr>
      </w:pPr>
      <w:r>
        <w:rPr>
          <w:rFonts w:cs="Calibri" w:ascii="Calibri" w:hAnsi="Calibri"/>
          <w:sz w:val="24"/>
          <w:szCs w:val="24"/>
        </w:rPr>
        <w:t>Size: 39’ x 12” (990 mm x 304 mm)</w:t>
      </w:r>
    </w:p>
    <w:p>
      <w:pPr>
        <w:pStyle w:val="ManuSpec2"/>
        <w:numPr>
          <w:ilvl w:val="0"/>
          <w:numId w:val="0"/>
        </w:numPr>
        <w:ind w:hanging="0" w:left="720" w:right="0"/>
        <w:jc w:val="both"/>
        <w:rPr>
          <w:rFonts w:ascii="Calibri" w:hAnsi="Calibri" w:cs="Calibri"/>
          <w:sz w:val="24"/>
          <w:szCs w:val="24"/>
        </w:rPr>
      </w:pPr>
      <w:r>
        <w:rPr>
          <w:rFonts w:cs="Calibri" w:ascii="Calibri" w:hAnsi="Calibri"/>
          <w:sz w:val="24"/>
          <w:szCs w:val="24"/>
        </w:rPr>
      </w:r>
      <w:bookmarkStart w:id="1" w:name="OLE_LINK1"/>
      <w:bookmarkStart w:id="2" w:name="OLE_LINK1"/>
      <w:bookmarkEnd w:id="2"/>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Galvanized G90 coating for painted 29 gauge sheet thickness.</w:t>
      </w:r>
    </w:p>
    <w:p>
      <w:pPr>
        <w:pStyle w:val="Normal"/>
        <w:ind w:hanging="720" w:left="1440" w:right="0"/>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59"/>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59"/>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59"/>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59"/>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59"/>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59"/>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59"/>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59"/>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59"/>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7"/>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7"/>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0"/>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0"/>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0"/>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7"/>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0"/>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3" w:name="article-top"/>
      <w:bookmarkEnd w:id="3"/>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8"/>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6"/>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6"/>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8"/>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7"/>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7"/>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7"/>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7"/>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2"/>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2"/>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2"/>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2"/>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2"/>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2"/>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2"/>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2"/>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5"/>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1"/>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1"/>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1"/>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5"/>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5"/>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5"/>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0"/>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0"/>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5"/>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0"/>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0"/>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0"/>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2"/>
        </w:numPr>
        <w:rPr>
          <w:rFonts w:ascii="Calibri" w:hAnsi="Calibri" w:cs="Calibri"/>
          <w:sz w:val="24"/>
          <w:szCs w:val="24"/>
        </w:rPr>
      </w:pPr>
      <w:r>
        <w:rPr>
          <w:rFonts w:cs="Calibri" w:ascii="Calibri" w:hAnsi="Calibri"/>
          <w:sz w:val="24"/>
          <w:szCs w:val="24"/>
        </w:rPr>
        <w:t>Substrate boards</w:t>
      </w:r>
    </w:p>
    <w:p>
      <w:pPr>
        <w:pStyle w:val="Normal"/>
        <w:widowControl/>
        <w:numPr>
          <w:ilvl w:val="0"/>
          <w:numId w:val="46"/>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6"/>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4"/>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4"/>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4"/>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3"/>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3"/>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4"/>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4"/>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4"/>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9"/>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Panel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decimal"/>
      <w:lvlText w:val="%1."/>
      <w:lvlJc w:val="left"/>
      <w:pPr>
        <w:tabs>
          <w:tab w:val="num" w:pos="0"/>
        </w:tabs>
        <w:ind w:left="1800" w:hanging="360"/>
      </w:pPr>
    </w:lvl>
  </w:abstractNum>
  <w:abstractNum w:abstractNumId="16">
    <w:lvl w:ilvl="0">
      <w:start w:val="1"/>
      <w:numFmt w:val="decimal"/>
      <w:lvlText w:val="%1."/>
      <w:lvlJc w:val="left"/>
      <w:pPr>
        <w:tabs>
          <w:tab w:val="num" w:pos="0"/>
        </w:tabs>
        <w:ind w:left="1800" w:hanging="360"/>
      </w:pPr>
      <w:rPr/>
    </w:lvl>
  </w:abstractNum>
  <w:abstractNum w:abstractNumId="17">
    <w:lvl w:ilvl="0">
      <w:start w:val="1"/>
      <w:numFmt w:val="lowerLetter"/>
      <w:lvlText w:val="%1."/>
      <w:lvlJc w:val="left"/>
      <w:pPr>
        <w:tabs>
          <w:tab w:val="num" w:pos="0"/>
        </w:tabs>
        <w:ind w:left="252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lvl w:ilvl="0">
      <w:start w:val="1"/>
      <w:numFmt w:val="upperLetter"/>
      <w:lvlText w:val="%1."/>
      <w:lvlJc w:val="left"/>
      <w:pPr>
        <w:tabs>
          <w:tab w:val="num" w:pos="0"/>
        </w:tabs>
        <w:ind w:left="1080" w:hanging="360"/>
      </w:pPr>
      <w:r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lvl>
  </w:abstractNum>
  <w:abstractNum w:abstractNumId="2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6">
    <w:lvl w:ilvl="0">
      <w:start w:val="1"/>
      <w:numFmt w:val="upperLetter"/>
      <w:lvlText w:val="%1."/>
      <w:lvlJc w:val="left"/>
      <w:pPr>
        <w:tabs>
          <w:tab w:val="num" w:pos="0"/>
        </w:tabs>
        <w:ind w:left="1080" w:hanging="360"/>
      </w:pPr>
    </w:lvl>
  </w:abstractNum>
  <w:abstractNum w:abstractNumId="27">
    <w:lvl w:ilvl="0">
      <w:start w:val="1"/>
      <w:numFmt w:val="upperLetter"/>
      <w:lvlText w:val="%1."/>
      <w:lvlJc w:val="left"/>
      <w:pPr>
        <w:tabs>
          <w:tab w:val="num" w:pos="0"/>
        </w:tabs>
        <w:ind w:left="1080" w:hanging="360"/>
      </w:pPr>
      <w:rPr>
        <w:rFonts w:ascii="Calibri" w:hAnsi="Calibri" w:cs="Calibri"/>
      </w:rPr>
    </w:lvl>
  </w:abstractNum>
  <w:abstractNum w:abstractNumId="28">
    <w:lvl w:ilvl="0">
      <w:start w:val="1"/>
      <w:numFmt w:val="decimal"/>
      <w:lvlText w:val="%1."/>
      <w:lvlJc w:val="left"/>
      <w:pPr>
        <w:tabs>
          <w:tab w:val="num" w:pos="0"/>
        </w:tabs>
        <w:ind w:left="1890" w:hanging="360"/>
      </w:pPr>
    </w:lvl>
  </w:abstractNum>
  <w:abstractNum w:abstractNumId="29">
    <w:lvl w:ilvl="0">
      <w:start w:val="1"/>
      <w:numFmt w:val="upperLetter"/>
      <w:lvlText w:val="%1."/>
      <w:lvlJc w:val="left"/>
      <w:pPr>
        <w:tabs>
          <w:tab w:val="num" w:pos="0"/>
        </w:tabs>
        <w:ind w:left="1080" w:hanging="360"/>
      </w:pPr>
      <w:rPr/>
    </w:lvl>
  </w:abstractNum>
  <w:abstractNum w:abstractNumId="3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decimal"/>
      <w:lvlText w:val="%1."/>
      <w:lvlJc w:val="left"/>
      <w:pPr>
        <w:tabs>
          <w:tab w:val="num" w:pos="0"/>
        </w:tabs>
        <w:ind w:left="1800" w:hanging="360"/>
      </w:pPr>
      <w:rPr/>
    </w:lvl>
  </w:abstractNum>
  <w:abstractNum w:abstractNumId="34">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5">
    <w:lvl w:ilvl="0">
      <w:start w:val="1"/>
      <w:numFmt w:val="decimal"/>
      <w:lvlText w:val="%1."/>
      <w:lvlJc w:val="left"/>
      <w:pPr>
        <w:tabs>
          <w:tab w:val="num" w:pos="0"/>
        </w:tabs>
        <w:ind w:left="1800" w:hanging="360"/>
      </w:pPr>
    </w:lvl>
  </w:abstractNum>
  <w:abstractNum w:abstractNumId="3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7">
    <w:lvl w:ilvl="0">
      <w:start w:val="1"/>
      <w:numFmt w:val="decimal"/>
      <w:lvlText w:val="%1."/>
      <w:lvlJc w:val="left"/>
      <w:pPr>
        <w:tabs>
          <w:tab w:val="num" w:pos="0"/>
        </w:tabs>
        <w:ind w:left="1800" w:hanging="360"/>
      </w:pPr>
      <w:rPr/>
    </w:lvl>
  </w:abstractNum>
  <w:abstractNum w:abstractNumId="38">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1">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2">
    <w:lvl w:ilvl="0">
      <w:start w:val="1"/>
      <w:numFmt w:val="lowerLetter"/>
      <w:lvlText w:val="%1."/>
      <w:lvlJc w:val="left"/>
      <w:pPr>
        <w:tabs>
          <w:tab w:val="num" w:pos="0"/>
        </w:tabs>
        <w:ind w:left="2520" w:hanging="360"/>
      </w:pPr>
    </w:lvl>
  </w:abstractNum>
  <w:abstractNum w:abstractNumId="43">
    <w:lvl w:ilvl="0">
      <w:start w:val="1"/>
      <w:numFmt w:val="upperLetter"/>
      <w:lvlText w:val="%1."/>
      <w:lvlJc w:val="left"/>
      <w:pPr>
        <w:tabs>
          <w:tab w:val="num" w:pos="0"/>
        </w:tabs>
        <w:ind w:left="990" w:hanging="360"/>
      </w:pPr>
      <w:rPr/>
    </w:lvl>
  </w:abstractNum>
  <w:abstractNum w:abstractNumId="44">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5">
    <w:lvl w:ilvl="0">
      <w:start w:val="1"/>
      <w:numFmt w:val="upperLetter"/>
      <w:lvlText w:val="%1."/>
      <w:lvlJc w:val="left"/>
      <w:pPr>
        <w:tabs>
          <w:tab w:val="num" w:pos="0"/>
        </w:tabs>
        <w:ind w:left="1080" w:hanging="360"/>
      </w:pPr>
      <w:rPr/>
    </w:lvl>
  </w:abstractNum>
  <w:abstractNum w:abstractNumId="46">
    <w:lvl w:ilvl="0">
      <w:start w:val="1"/>
      <w:numFmt w:val="lowerLetter"/>
      <w:lvlText w:val="%1."/>
      <w:lvlJc w:val="left"/>
      <w:pPr>
        <w:tabs>
          <w:tab w:val="num" w:pos="0"/>
        </w:tabs>
        <w:ind w:left="2430" w:hanging="360"/>
      </w:pPr>
    </w:lvl>
  </w:abstractNum>
  <w:abstractNum w:abstractNumId="47">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decimal"/>
      <w:lvlText w:val="%1."/>
      <w:lvlJc w:val="left"/>
      <w:pPr>
        <w:tabs>
          <w:tab w:val="num" w:pos="0"/>
        </w:tabs>
        <w:ind w:left="1800" w:hanging="360"/>
      </w:pPr>
      <w:rPr/>
    </w:lvl>
  </w:abstractNum>
  <w:abstractNum w:abstractNumId="52">
    <w:lvl w:ilvl="0">
      <w:start w:val="1"/>
      <w:numFmt w:val="decimal"/>
      <w:lvlText w:val="%1."/>
      <w:lvlJc w:val="left"/>
      <w:pPr>
        <w:tabs>
          <w:tab w:val="num" w:pos="0"/>
        </w:tabs>
        <w:ind w:left="1800" w:hanging="360"/>
      </w:pPr>
      <w:rPr/>
    </w:lvl>
  </w:abstractNum>
  <w:abstractNum w:abstractNumId="53">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4">
    <w:lvl w:ilvl="0">
      <w:start w:val="1"/>
      <w:numFmt w:val="upperLetter"/>
      <w:lvlText w:val="%1."/>
      <w:lvlJc w:val="left"/>
      <w:pPr>
        <w:tabs>
          <w:tab w:val="num" w:pos="0"/>
        </w:tabs>
        <w:ind w:left="1080" w:hanging="360"/>
      </w:pPr>
      <w:rPr>
        <w:sz w:val="24"/>
        <w:szCs w:val="24"/>
        <w:rFonts w:ascii="Calibri" w:hAnsi="Calibri" w:cs="Calibri"/>
      </w:rPr>
    </w:lvl>
  </w:abstractNum>
  <w:abstractNum w:abstractNumId="55">
    <w:lvl w:ilvl="0">
      <w:start w:val="1"/>
      <w:numFmt w:val="upperLetter"/>
      <w:lvlText w:val="%1."/>
      <w:lvlJc w:val="left"/>
      <w:pPr>
        <w:tabs>
          <w:tab w:val="num" w:pos="0"/>
        </w:tabs>
        <w:ind w:left="1080" w:hanging="360"/>
      </w:pPr>
      <w:rPr/>
    </w:lvl>
  </w:abstractNum>
  <w:abstractNum w:abstractNumId="56">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7">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8">
    <w:lvl w:ilvl="0">
      <w:start w:val="1"/>
      <w:numFmt w:val="decimal"/>
      <w:lvlText w:val="%1."/>
      <w:lvlJc w:val="left"/>
      <w:pPr>
        <w:tabs>
          <w:tab w:val="num" w:pos="0"/>
        </w:tabs>
        <w:ind w:left="1800" w:hanging="360"/>
      </w:pPr>
    </w:lvl>
  </w:abstractNum>
  <w:abstractNum w:abstractNumId="59">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0">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1">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2">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3">
    <w:lvl w:ilvl="0">
      <w:start w:val="1"/>
      <w:numFmt w:val="decimal"/>
      <w:lvlText w:val="%1."/>
      <w:lvlJc w:val="left"/>
      <w:pPr>
        <w:tabs>
          <w:tab w:val="num" w:pos="0"/>
        </w:tabs>
        <w:ind w:left="1800" w:hanging="360"/>
      </w:pPr>
      <w:rPr/>
    </w:lvl>
  </w:abstractNum>
  <w:abstractNum w:abstractNumId="64">
    <w:lvl w:ilvl="0">
      <w:start w:val="1"/>
      <w:numFmt w:val="lowerLetter"/>
      <w:lvlText w:val="%1."/>
      <w:lvlJc w:val="left"/>
      <w:pPr>
        <w:tabs>
          <w:tab w:val="num" w:pos="0"/>
        </w:tabs>
        <w:ind w:left="2430" w:hanging="360"/>
      </w:pPr>
    </w:lvl>
  </w:abstractNum>
  <w:abstractNum w:abstractNumId="65">
    <w:lvl w:ilvl="0">
      <w:start w:val="1"/>
      <w:numFmt w:val="decimal"/>
      <w:lvlText w:val="%1."/>
      <w:lvlJc w:val="left"/>
      <w:pPr>
        <w:tabs>
          <w:tab w:val="num" w:pos="0"/>
        </w:tabs>
        <w:ind w:left="1800" w:hanging="360"/>
      </w:pPr>
      <w:rPr/>
    </w:lvl>
  </w:abstractNum>
  <w:abstractNum w:abstractNumId="66">
    <w:lvl w:ilvl="0">
      <w:start w:val="1"/>
      <w:numFmt w:val="upperLetter"/>
      <w:lvlText w:val="%1."/>
      <w:lvlJc w:val="left"/>
      <w:pPr>
        <w:tabs>
          <w:tab w:val="num" w:pos="0"/>
        </w:tabs>
        <w:ind w:left="1080" w:hanging="360"/>
      </w:pPr>
      <w:rPr/>
    </w:lvl>
  </w:abstractNum>
  <w:abstractNum w:abstractNumId="6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56"/>
    <w:lvlOverride w:ilvl="0">
      <w:startOverride w:val="1"/>
    </w:lvlOverride>
    <w:lvlOverride w:ilvl="1">
      <w:startOverride w:val="1"/>
    </w:lvlOverride>
    <w:lvlOverride w:ilvl="2">
      <w:startOverride w:val="1"/>
    </w:lvlOverride>
    <w:lvlOverride w:ilvl="3">
      <w:startOverride w:val="1"/>
    </w:lvlOverride>
  </w:num>
  <w:num w:numId="69">
    <w:abstractNumId w:val="56"/>
    <w:lvlOverride w:ilvl="0">
      <w:startOverride w:val="1"/>
    </w:lvlOverride>
    <w:lvlOverride w:ilvl="1">
      <w:startOverride w:val="1"/>
    </w:lvlOverride>
    <w:lvlOverride w:ilvl="2">
      <w:startOverride w:val="1"/>
    </w:lvlOverride>
  </w:num>
  <w:num w:numId="70">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6"/>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6"/>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6"/>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6"/>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6"/>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6"/>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6"/>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6"/>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6"/>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2023-09-14T21:32:00Z</dcterms:created>
  <dc:creator>linda messersmith</dc:creator>
  <dc:description/>
  <cp:keywords/>
  <dc:language>en-US</dc:language>
  <cp:lastModifiedBy>Kathi</cp:lastModifiedBy>
  <cp:lastPrinted>2020-05-18T16:59:00Z</cp:lastPrinted>
  <dcterms:modified xsi:type="dcterms:W3CDTF">2023-09-14T21:32:00Z</dcterms:modified>
  <cp:revision>2</cp:revision>
  <dc:subject/>
  <dc:title>APPENDIX A</dc:title>
</cp:coreProperties>
</file>