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42 13.13  </w:t>
      </w:r>
    </w:p>
    <w:p>
      <w:pPr>
        <w:pStyle w:val="HdgSection"/>
        <w:rPr>
          <w:rFonts w:ascii="Calibri" w:hAnsi="Calibri" w:cs="Calibri"/>
          <w:sz w:val="24"/>
          <w:szCs w:val="24"/>
        </w:rPr>
      </w:pPr>
      <w:r>
        <w:rPr>
          <w:rFonts w:cs="Calibri" w:ascii="Calibri" w:hAnsi="Calibri"/>
          <w:sz w:val="24"/>
          <w:szCs w:val="24"/>
        </w:rPr>
        <w:t>METAL roof &amp; WALL PANELS</w:t>
      </w:r>
    </w:p>
    <w:p>
      <w:pPr>
        <w:pStyle w:val="HdgSection"/>
        <w:rPr>
          <w:rFonts w:ascii="Calibri" w:hAnsi="Calibri" w:cs="Calibri"/>
          <w:sz w:val="24"/>
          <w:szCs w:val="24"/>
        </w:rPr>
      </w:pPr>
      <w:r>
        <w:rPr>
          <w:rFonts w:cs="Calibri" w:ascii="Calibri" w:hAnsi="Calibri"/>
          <w:sz w:val="24"/>
          <w:szCs w:val="24"/>
        </w:rPr>
        <w:t>R Panel</w:t>
      </w:r>
    </w:p>
    <w:p>
      <w:pPr>
        <w:pStyle w:val="HdgSection"/>
        <w:rPr>
          <w:rFonts w:ascii="Calibri" w:hAnsi="Calibri" w:cs="Calibri"/>
          <w:sz w:val="24"/>
          <w:szCs w:val="24"/>
        </w:rPr>
      </w:pPr>
      <w:r>
        <w:rPr>
          <w:rFonts w:cs="Calibri" w:ascii="Calibri" w:hAnsi="Calibri"/>
          <w:sz w:val="24"/>
          <w:szCs w:val="24"/>
        </w:rPr>
      </w:r>
    </w:p>
    <w:p>
      <w:pPr>
        <w:pStyle w:val="ManuSpec1"/>
        <w:numPr>
          <w:ilvl w:val="0"/>
          <w:numId w:val="61"/>
        </w:numPr>
        <w:ind w:hanging="0" w:left="0"/>
        <w:jc w:val="both"/>
        <w:rPr>
          <w:rFonts w:ascii="Calibri" w:hAnsi="Calibri" w:cs="Calibri"/>
          <w:sz w:val="24"/>
          <w:szCs w:val="24"/>
        </w:rPr>
      </w:pPr>
      <w:r>
        <w:rPr>
          <w:rFonts w:cs="Calibri" w:ascii="Calibri" w:hAnsi="Calibri"/>
          <w:sz w:val="24"/>
          <w:szCs w:val="24"/>
        </w:rPr>
        <w:t>GENERAL</w:t>
      </w:r>
    </w:p>
    <w:p>
      <w:pPr>
        <w:pStyle w:val="ManuSpec1"/>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1"/>
          <w:numId w:val="48"/>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2"/>
          <w:numId w:val="61"/>
        </w:numPr>
        <w:ind w:hanging="0" w:left="0"/>
        <w:jc w:val="both"/>
        <w:rPr>
          <w:rFonts w:ascii="Calibri" w:hAnsi="Calibri" w:cs="Calibri"/>
          <w:sz w:val="24"/>
          <w:szCs w:val="24"/>
        </w:rPr>
      </w:pPr>
      <w:r>
        <w:rPr>
          <w:rFonts w:cs="Calibri" w:ascii="Calibri" w:hAnsi="Calibri"/>
          <w:sz w:val="24"/>
          <w:szCs w:val="24"/>
        </w:rPr>
        <w:t>Section Includes: Factory-formed metal roof and wall panels, including fascia, soffit and liner panels and includes:</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Factory-formed panels in horizontal installation.</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72"/>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1"/>
          <w:numId w:val="65"/>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2"/>
          <w:numId w:val="73"/>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ASTM E1680 Standard Test Method for Determining the Rate of Air Leakage Through Exterior Metal Systems Under Specified Pressure Differences Across the Specimen.</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ASTM E1646 Standard Test Method for Water Penetration of Metal Systems by Uniform Static Air Pressure Difference.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1.3</w:t>
        <w:tab/>
        <w:t>ADMINISTRATIVE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1.4 </w:t>
        <w:tab/>
        <w:tab/>
        <w:t>SYSTEM DESCRIPTION</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t xml:space="preserve">A. </w:t>
        <w:tab/>
        <w:t>Panel Performance Requirements: Provide panels, which have been manufactured, fabricated and installed to withstand structural and thermal movement, wind loading and weather exposure to maintain manufacturer’s performance criteria without defects, damage, failure or infiltration of water.</w:t>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Select performance requirements based upon the panel selected in Section 2.2</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ASTM E1592 &amp; FM 4471 tests are available for 24 Gauge PBR panel only.</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36"/>
        </w:numPr>
        <w:jc w:val="both"/>
        <w:rPr>
          <w:rFonts w:ascii="Calibri" w:hAnsi="Calibri" w:cs="Calibri"/>
          <w:sz w:val="24"/>
          <w:szCs w:val="24"/>
        </w:rPr>
      </w:pPr>
      <w:r>
        <w:rPr>
          <w:rFonts w:cs="Calibri" w:ascii="Calibri" w:hAnsi="Calibri"/>
          <w:sz w:val="24"/>
          <w:szCs w:val="24"/>
        </w:rPr>
        <w:t>Air Infiltration: Maximum 0.011 cfm/lf (0.061 m</w:t>
      </w:r>
      <w:r>
        <w:rPr>
          <w:rFonts w:cs="Calibri" w:ascii="Calibri" w:hAnsi="Calibri"/>
          <w:sz w:val="24"/>
          <w:szCs w:val="24"/>
          <w:vertAlign w:val="superscript"/>
        </w:rPr>
        <w:t>3</w:t>
      </w:r>
      <w:r>
        <w:rPr>
          <w:rFonts w:cs="Calibri" w:ascii="Calibri" w:hAnsi="Calibri"/>
          <w:sz w:val="24"/>
          <w:szCs w:val="24"/>
        </w:rPr>
        <w:t>/hr/m) of seam at static pressure of +/-6.24 psf (0.30 kPa) when tested per ASTM E1680.</w:t>
      </w:r>
    </w:p>
    <w:p>
      <w:pPr>
        <w:pStyle w:val="ManuSpec2"/>
        <w:numPr>
          <w:ilvl w:val="0"/>
          <w:numId w:val="36"/>
        </w:numPr>
        <w:jc w:val="both"/>
        <w:rPr>
          <w:rFonts w:ascii="Calibri" w:hAnsi="Calibri" w:cs="Calibri"/>
          <w:sz w:val="24"/>
          <w:szCs w:val="24"/>
        </w:rPr>
      </w:pPr>
      <w:r>
        <w:rPr>
          <w:rFonts w:cs="Calibri" w:ascii="Calibri" w:hAnsi="Calibri"/>
          <w:sz w:val="24"/>
          <w:szCs w:val="24"/>
        </w:rPr>
        <w:t>Water Penetration: No uncontrolled water penetration through the panel joints at a static pressure of 12.0 psf (0.57 kPa) when tested in accordance with ASTM E1646.</w:t>
      </w:r>
    </w:p>
    <w:p>
      <w:pPr>
        <w:pStyle w:val="Normal"/>
        <w:numPr>
          <w:ilvl w:val="0"/>
          <w:numId w:val="36"/>
        </w:numPr>
        <w:rPr>
          <w:rFonts w:ascii="Calibri" w:hAnsi="Calibri" w:cs="Calibri"/>
          <w:sz w:val="24"/>
          <w:szCs w:val="24"/>
        </w:rPr>
      </w:pPr>
      <w:r>
        <w:rPr>
          <w:rFonts w:cs="Calibri" w:ascii="Calibri" w:hAnsi="Calibri"/>
          <w:sz w:val="24"/>
          <w:szCs w:val="24"/>
        </w:rPr>
        <w:t>Fire rating:  Class A</w:t>
      </w:r>
    </w:p>
    <w:p>
      <w:pPr>
        <w:pStyle w:val="Normal"/>
        <w:numPr>
          <w:ilvl w:val="0"/>
          <w:numId w:val="36"/>
        </w:numPr>
        <w:rPr>
          <w:rFonts w:ascii="Calibri" w:hAnsi="Calibri" w:cs="Calibri"/>
          <w:sz w:val="24"/>
          <w:szCs w:val="24"/>
        </w:rPr>
      </w:pPr>
      <w:r>
        <w:rPr>
          <w:rFonts w:cs="Calibri" w:ascii="Calibri" w:hAnsi="Calibri"/>
          <w:sz w:val="24"/>
          <w:szCs w:val="24"/>
        </w:rPr>
        <w:t>Uplift Tests:</w:t>
      </w:r>
    </w:p>
    <w:p>
      <w:pPr>
        <w:pStyle w:val="Normal"/>
        <w:widowControl/>
        <w:numPr>
          <w:ilvl w:val="0"/>
          <w:numId w:val="15"/>
        </w:numPr>
        <w:rPr>
          <w:rFonts w:ascii="Calibri" w:hAnsi="Calibri" w:cs="Calibri"/>
          <w:sz w:val="24"/>
          <w:szCs w:val="24"/>
        </w:rPr>
      </w:pPr>
      <w:r>
        <w:rPr>
          <w:rFonts w:cs="Calibri" w:ascii="Calibri" w:hAnsi="Calibri"/>
          <w:sz w:val="24"/>
          <w:szCs w:val="24"/>
        </w:rPr>
        <w:t>UL 580 Class 90</w:t>
      </w:r>
    </w:p>
    <w:p>
      <w:pPr>
        <w:pStyle w:val="Normal"/>
        <w:widowControl/>
        <w:numPr>
          <w:ilvl w:val="0"/>
          <w:numId w:val="15"/>
        </w:numPr>
        <w:rPr>
          <w:rFonts w:ascii="Calibri" w:hAnsi="Calibri" w:cs="Calibri"/>
          <w:sz w:val="24"/>
          <w:szCs w:val="24"/>
        </w:rPr>
      </w:pPr>
      <w:r>
        <w:rPr>
          <w:rFonts w:cs="Calibri" w:ascii="Calibri" w:hAnsi="Calibri"/>
          <w:sz w:val="24"/>
          <w:szCs w:val="24"/>
        </w:rPr>
        <w:t xml:space="preserve">ASTM E 1592  </w:t>
      </w:r>
    </w:p>
    <w:p>
      <w:pPr>
        <w:pStyle w:val="Normal"/>
        <w:numPr>
          <w:ilvl w:val="0"/>
          <w:numId w:val="36"/>
        </w:numPr>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Miami Dade</w:t>
      </w:r>
    </w:p>
    <w:p>
      <w:pPr>
        <w:pStyle w:val="Normal"/>
        <w:numPr>
          <w:ilvl w:val="0"/>
          <w:numId w:val="36"/>
        </w:numPr>
        <w:rPr>
          <w:rFonts w:ascii="Calibri" w:hAnsi="Calibri" w:cs="Calibri"/>
          <w:sz w:val="24"/>
          <w:szCs w:val="24"/>
        </w:rPr>
      </w:pPr>
      <w:r>
        <w:rPr>
          <w:rFonts w:cs="Calibri" w:ascii="Calibri" w:hAnsi="Calibri"/>
          <w:sz w:val="24"/>
          <w:szCs w:val="24"/>
        </w:rPr>
        <w:t>Class 4 Impact Resistance: UL 2218</w:t>
      </w:r>
    </w:p>
    <w:p>
      <w:pPr>
        <w:pStyle w:val="Normal"/>
        <w:numPr>
          <w:ilvl w:val="0"/>
          <w:numId w:val="36"/>
        </w:numPr>
        <w:rPr>
          <w:rFonts w:ascii="Calibri" w:hAnsi="Calibri" w:cs="Calibri"/>
          <w:sz w:val="24"/>
          <w:szCs w:val="24"/>
        </w:rPr>
      </w:pPr>
      <w:r>
        <w:rPr>
          <w:rFonts w:cs="Calibri" w:ascii="Calibri" w:hAnsi="Calibri"/>
          <w:sz w:val="24"/>
          <w:szCs w:val="24"/>
        </w:rPr>
        <w:t>FM 4471 Appendix G</w:t>
      </w:r>
    </w:p>
    <w:p>
      <w:pPr>
        <w:pStyle w:val="Normal"/>
        <w:numPr>
          <w:ilvl w:val="0"/>
          <w:numId w:val="36"/>
        </w:numPr>
        <w:rPr>
          <w:rFonts w:ascii="Calibri" w:hAnsi="Calibri" w:cs="Calibri"/>
          <w:sz w:val="24"/>
          <w:szCs w:val="24"/>
        </w:rPr>
      </w:pPr>
      <w:r>
        <w:rPr>
          <w:rFonts w:cs="Calibri" w:ascii="Calibri" w:hAnsi="Calibri"/>
          <w:sz w:val="24"/>
          <w:szCs w:val="24"/>
        </w:rPr>
        <w:t>Fire Resistance:  UL 263</w:t>
      </w:r>
    </w:p>
    <w:p>
      <w:pPr>
        <w:pStyle w:val="Normal"/>
        <w:numPr>
          <w:ilvl w:val="0"/>
          <w:numId w:val="36"/>
        </w:numPr>
        <w:rPr>
          <w:rFonts w:ascii="Calibri" w:hAnsi="Calibri" w:cs="Calibri"/>
          <w:sz w:val="24"/>
          <w:szCs w:val="24"/>
        </w:rPr>
      </w:pPr>
      <w:r>
        <w:rPr>
          <w:rFonts w:cs="Calibri" w:ascii="Calibri" w:hAnsi="Calibri"/>
          <w:sz w:val="24"/>
          <w:szCs w:val="24"/>
        </w:rPr>
        <w:t>Florida State Approval</w:t>
      </w:r>
    </w:p>
    <w:p>
      <w:pPr>
        <w:pStyle w:val="Normal"/>
        <w:numPr>
          <w:ilvl w:val="0"/>
          <w:numId w:val="36"/>
        </w:numPr>
        <w:rPr>
          <w:rFonts w:ascii="Calibri" w:hAnsi="Calibri" w:cs="Calibri"/>
          <w:sz w:val="24"/>
          <w:szCs w:val="24"/>
        </w:rPr>
      </w:pPr>
      <w:r>
        <w:rPr>
          <w:rFonts w:cs="Calibri" w:ascii="Calibri" w:hAnsi="Calibri"/>
          <w:sz w:val="24"/>
          <w:szCs w:val="24"/>
        </w:rPr>
        <w:t>Texas Department of Insurance</w:t>
      </w:r>
    </w:p>
    <w:p>
      <w:pPr>
        <w:pStyle w:val="Normal"/>
        <w:ind w:left="1800" w:right="0"/>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color w:val="FF0000"/>
          <w:sz w:val="24"/>
          <w:szCs w:val="24"/>
        </w:rPr>
        <w:tab/>
        <w:tab/>
        <w:tab/>
        <w:t>Specifier Note: Edit paragraph below based on paint finish selected.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widowControl/>
        <w:numPr>
          <w:ilvl w:val="2"/>
          <w:numId w:val="61"/>
        </w:numPr>
        <w:rPr>
          <w:rFonts w:ascii="Calibri" w:hAnsi="Calibri" w:cs="Calibri"/>
          <w:sz w:val="24"/>
          <w:szCs w:val="24"/>
        </w:rPr>
      </w:pP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Two coat coil applied, baked on full strength (70% resin, PVF2) fluorocarbon coating:</w:t>
      </w:r>
    </w:p>
    <w:p>
      <w:pPr>
        <w:pStyle w:val="Normal"/>
        <w:widowControl/>
        <w:numPr>
          <w:ilvl w:val="1"/>
          <w:numId w:val="57"/>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7"/>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7"/>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numPr>
          <w:ilvl w:val="0"/>
          <w:numId w:val="24"/>
        </w:numPr>
        <w:rPr>
          <w:rFonts w:ascii="Calibri" w:hAnsi="Calibri" w:cs="Calibri"/>
          <w:sz w:val="24"/>
          <w:szCs w:val="24"/>
        </w:rPr>
      </w:pPr>
      <w:r>
        <w:rPr>
          <w:rFonts w:cs="Calibri" w:ascii="Calibri" w:hAnsi="Calibri"/>
          <w:sz w:val="24"/>
          <w:szCs w:val="24"/>
        </w:rPr>
        <w:t>Silicone Modified Polyester:</w:t>
      </w:r>
    </w:p>
    <w:p>
      <w:pPr>
        <w:pStyle w:val="Normal"/>
        <w:widowControl/>
        <w:numPr>
          <w:ilvl w:val="1"/>
          <w:numId w:val="44"/>
        </w:numPr>
        <w:rPr>
          <w:rFonts w:ascii="Calibri" w:hAnsi="Calibri" w:cs="Calibri"/>
          <w:sz w:val="24"/>
          <w:szCs w:val="24"/>
        </w:rPr>
      </w:pPr>
      <w:r>
        <w:rPr>
          <w:rFonts w:cs="Calibri" w:ascii="Calibri" w:hAnsi="Calibri"/>
          <w:sz w:val="24"/>
          <w:szCs w:val="24"/>
        </w:rPr>
        <w:t xml:space="preserve">Consisting of a nominal .20-.30 mil dry film thickness primer and a nominal dry film thickness of 0.7-0.8 mil color coat for a total 0.9-1.1 mil total system dry film thickness.  </w:t>
      </w:r>
    </w:p>
    <w:p>
      <w:pPr>
        <w:pStyle w:val="Normal"/>
        <w:widowControl/>
        <w:numPr>
          <w:ilvl w:val="1"/>
          <w:numId w:val="44"/>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D2244; color change, after removal of surface deposits such as dirt or chalk.</w:t>
      </w:r>
    </w:p>
    <w:p>
      <w:pPr>
        <w:pStyle w:val="Normal"/>
        <w:widowControl/>
        <w:numPr>
          <w:ilvl w:val="1"/>
          <w:numId w:val="44"/>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rPr>
          <w:rFonts w:ascii="Calibri" w:hAnsi="Calibri" w:cs="Calibri"/>
          <w:sz w:val="24"/>
          <w:szCs w:val="24"/>
        </w:rPr>
      </w:pPr>
      <w:r>
        <w:rPr>
          <w:rFonts w:cs="Calibri" w:ascii="Calibri" w:hAnsi="Calibri"/>
          <w:sz w:val="24"/>
          <w:szCs w:val="24"/>
        </w:rPr>
        <w:tab/>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 xml:space="preserve">1.5  </w:t>
        <w:tab/>
        <w:t>SUBMITTALS</w:t>
      </w:r>
    </w:p>
    <w:p>
      <w:pPr>
        <w:pStyle w:val="Normal"/>
        <w:widowControl/>
        <w:ind w:left="720" w:right="0"/>
        <w:rPr>
          <w:rFonts w:ascii="Calibri" w:hAnsi="Calibri" w:cs="Calibri"/>
          <w:b/>
          <w:sz w:val="24"/>
          <w:szCs w:val="24"/>
        </w:rPr>
      </w:pPr>
      <w:r>
        <w:rPr>
          <w:rFonts w:cs="Calibri" w:ascii="Calibri" w:hAnsi="Calibri"/>
          <w:b/>
          <w:sz w:val="24"/>
          <w:szCs w:val="24"/>
        </w:rPr>
      </w:r>
    </w:p>
    <w:p>
      <w:pPr>
        <w:pStyle w:val="Normal"/>
        <w:widowControl/>
        <w:numPr>
          <w:ilvl w:val="0"/>
          <w:numId w:val="59"/>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9"/>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20"/>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7"/>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7"/>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7"/>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5"/>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720" w:right="0"/>
        <w:rPr>
          <w:rFonts w:ascii="Calibri" w:hAnsi="Calibri" w:cs="Calibri"/>
          <w:sz w:val="24"/>
          <w:szCs w:val="24"/>
        </w:rPr>
      </w:pPr>
      <w:r>
        <w:rPr>
          <w:rFonts w:cs="Calibri" w:ascii="Calibri" w:hAnsi="Calibri"/>
          <w:sz w:val="24"/>
          <w:szCs w:val="24"/>
        </w:rPr>
        <w:t>F. Warranties:</w:t>
      </w:r>
    </w:p>
    <w:p>
      <w:pPr>
        <w:pStyle w:val="Normal"/>
        <w:widowControl/>
        <w:numPr>
          <w:ilvl w:val="0"/>
          <w:numId w:val="29"/>
        </w:numPr>
        <w:rPr>
          <w:rFonts w:ascii="Calibri" w:hAnsi="Calibri" w:cs="Calibri"/>
          <w:sz w:val="24"/>
          <w:szCs w:val="24"/>
        </w:rPr>
      </w:pPr>
      <w:r>
        <w:rPr>
          <w:rFonts w:cs="Calibri" w:ascii="Calibri" w:hAnsi="Calibri"/>
          <w:sz w:val="24"/>
          <w:szCs w:val="24"/>
        </w:rPr>
        <w:t>Substrate Warranty</w:t>
      </w:r>
    </w:p>
    <w:p>
      <w:pPr>
        <w:pStyle w:val="Normal"/>
        <w:widowControl/>
        <w:numPr>
          <w:ilvl w:val="0"/>
          <w:numId w:val="29"/>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720" w:right="0"/>
        <w:rPr/>
      </w:pPr>
      <w:r>
        <w:rPr>
          <w:rFonts w:cs="Calibri" w:ascii="Calibri" w:hAnsi="Calibri"/>
          <w:sz w:val="24"/>
          <w:szCs w:val="24"/>
        </w:rPr>
        <w:t>G. 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4"/>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62"/>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62"/>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4"/>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4"/>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1.6 </w:t>
        <w:tab/>
        <w:t>QUALITY ASSURANCE</w:t>
      </w:r>
    </w:p>
    <w:p>
      <w:pPr>
        <w:pStyle w:val="Normal"/>
        <w:widowControl/>
        <w:ind w:left="1440" w:right="0"/>
        <w:rPr>
          <w:rFonts w:ascii="Calibri" w:hAnsi="Calibri" w:cs="Calibri"/>
          <w:sz w:val="24"/>
          <w:szCs w:val="24"/>
        </w:rPr>
      </w:pPr>
      <w:r>
        <w:rPr>
          <w:rFonts w:cs="Calibri" w:ascii="Calibri" w:hAnsi="Calibri"/>
          <w:sz w:val="24"/>
          <w:szCs w:val="24"/>
        </w:rPr>
        <w:tab/>
      </w:r>
    </w:p>
    <w:p>
      <w:pPr>
        <w:pStyle w:val="Normal"/>
        <w:widowControl/>
        <w:numPr>
          <w:ilvl w:val="0"/>
          <w:numId w:val="60"/>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9"/>
        </w:numPr>
        <w:rPr>
          <w:rFonts w:ascii="Calibri" w:hAnsi="Calibri" w:cs="Calibri"/>
          <w:sz w:val="24"/>
          <w:szCs w:val="24"/>
        </w:rPr>
      </w:pPr>
      <w:r>
        <w:rPr>
          <w:rFonts w:cs="Calibri" w:ascii="Calibri" w:hAnsi="Calibri"/>
          <w:sz w:val="24"/>
          <w:szCs w:val="24"/>
        </w:rPr>
        <w:t xml:space="preserve">Provider of “hands on” installer training programs at manufacturer facility. </w:t>
      </w:r>
    </w:p>
    <w:p>
      <w:pPr>
        <w:pStyle w:val="Normal"/>
        <w:widowControl/>
        <w:numPr>
          <w:ilvl w:val="0"/>
          <w:numId w:val="69"/>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69"/>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60"/>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7"/>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7"/>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0"/>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62"/>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62"/>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74"/>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1.7 </w:t>
        <w:tab/>
        <w:t>DELIVERY, STORAGE &amp; HANDLING</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0"/>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6"/>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6"/>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3"/>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1.8 </w:t>
        <w:tab/>
        <w:t>PROJECT CONDITIONS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1.9 </w:t>
        <w:tab/>
        <w:t>WARRANTY</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Edit paragraph below based on paint system specified and manufacturer’s warranty requirements. McElroy Metal, Inc. offers a standard warranty against defects in product workmanship and materials, including deterioration of metal panel finish. </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70"/>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8"/>
        </w:numPr>
        <w:rPr>
          <w:rFonts w:ascii="Calibri" w:hAnsi="Calibri" w:cs="Calibri"/>
          <w:sz w:val="24"/>
          <w:szCs w:val="24"/>
        </w:rPr>
      </w:pPr>
      <w:r>
        <w:rPr>
          <w:rFonts w:cs="Calibri" w:ascii="Calibri" w:hAnsi="Calibri"/>
          <w:sz w:val="24"/>
          <w:szCs w:val="24"/>
        </w:rPr>
        <w:t>Panel Material: Furnish manufacturers 25 year warranty covering the panel against rupture, structural failure, or perforation.</w:t>
      </w:r>
    </w:p>
    <w:p>
      <w:pPr>
        <w:pStyle w:val="Normal"/>
        <w:widowControl/>
        <w:numPr>
          <w:ilvl w:val="0"/>
          <w:numId w:val="38"/>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6"/>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 year warranty covering fade and chalk on the two coat coil applied, baked on full strength (70% resin, PVF2) fluorocarbon coating. Manufacturer’s warranty may exclude surface deterioration due to physical damage and corrosive environments. </w:t>
      </w:r>
    </w:p>
    <w:p>
      <w:pPr>
        <w:pStyle w:val="Normal"/>
        <w:widowControl/>
        <w:numPr>
          <w:ilvl w:val="0"/>
          <w:numId w:val="46"/>
        </w:numPr>
        <w:rPr>
          <w:rFonts w:ascii="Calibri" w:hAnsi="Calibri" w:cs="Calibri"/>
          <w:sz w:val="24"/>
          <w:szCs w:val="24"/>
        </w:rPr>
      </w:pPr>
      <w:r>
        <w:rPr>
          <w:rFonts w:cs="Calibri" w:ascii="Calibri" w:hAnsi="Calibri"/>
          <w:sz w:val="24"/>
          <w:szCs w:val="24"/>
        </w:rPr>
        <w:t>Silicone Modified Polyester: Furnish manufacturer's 30-year warranty covering cracking, checking, and peeling, and 30 year warranty covering fade and chalk. Manufacturer’s warranty may exclude surface deterioration due to physical damage and corrosive environments.</w:t>
      </w:r>
    </w:p>
    <w:p>
      <w:pPr>
        <w:pStyle w:val="Normal"/>
        <w:widowControl/>
        <w:ind w:left="1440" w:right="0"/>
        <w:jc w:val="center"/>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70"/>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61"/>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b/>
          <w:sz w:val="24"/>
          <w:szCs w:val="24"/>
        </w:rPr>
        <w:t>2.1</w:t>
      </w:r>
      <w:r>
        <w:rPr>
          <w:rFonts w:cs="Calibri" w:ascii="Calibri" w:hAnsi="Calibri"/>
          <w:sz w:val="24"/>
          <w:szCs w:val="24"/>
        </w:rPr>
        <w:tab/>
        <w:t xml:space="preserve"> </w:t>
      </w:r>
      <w:r>
        <w:rPr>
          <w:rFonts w:cs="Calibri" w:ascii="Calibri" w:hAnsi="Calibri"/>
          <w:b/>
          <w:sz w:val="24"/>
          <w:szCs w:val="24"/>
        </w:rPr>
        <w:t>METAL PANELS</w:t>
      </w:r>
      <w:r>
        <w:rPr>
          <w:rFonts w:cs="Calibri" w:ascii="Calibri" w:hAnsi="Calibri"/>
          <w:sz w:val="24"/>
          <w:szCs w:val="24"/>
        </w:rPr>
        <w:tab/>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61"/>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Panels R Panel.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39"/>
        </w:numPr>
        <w:rPr>
          <w:rFonts w:ascii="Calibri" w:hAnsi="Calibri" w:cs="Calibri"/>
          <w:sz w:val="24"/>
          <w:szCs w:val="24"/>
        </w:rPr>
      </w:pPr>
      <w:r>
        <w:rPr>
          <w:rFonts w:cs="Calibri" w:ascii="Calibri" w:hAnsi="Calibri"/>
          <w:sz w:val="24"/>
          <w:szCs w:val="24"/>
        </w:rPr>
        <w:t>Basis of Design Product: Subject to compliance with requirements provide McElroy Metal R-Panel.</w:t>
      </w:r>
    </w:p>
    <w:p>
      <w:pPr>
        <w:pStyle w:val="Normal"/>
        <w:widowControl/>
        <w:numPr>
          <w:ilvl w:val="1"/>
          <w:numId w:val="39"/>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5"/>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5"/>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5"/>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b/>
          <w:sz w:val="24"/>
          <w:szCs w:val="24"/>
        </w:rPr>
        <w:t>2.2</w:t>
        <w:tab/>
        <w:tab/>
        <w:t xml:space="preserve"> MANUFACTURED UNITS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75"/>
        </w:numPr>
        <w:ind w:hanging="0" w:left="0"/>
        <w:jc w:val="both"/>
        <w:rPr>
          <w:rFonts w:ascii="Calibri" w:hAnsi="Calibri" w:cs="Calibri"/>
          <w:sz w:val="24"/>
          <w:szCs w:val="24"/>
        </w:rPr>
      </w:pPr>
      <w:r>
        <w:rPr>
          <w:rFonts w:cs="Calibri" w:ascii="Calibri" w:hAnsi="Calibri"/>
          <w:sz w:val="24"/>
          <w:szCs w:val="24"/>
        </w:rPr>
        <w:t>McElroy Metal R-Panel:</w:t>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 xml:space="preserve">Specifier Note: Edit paragraph below. </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Profile: Major longitudinal ribs 1 1/4" (32 mm) deep, spaced 12" (305 mm) on center; minor longitudinal ribs centered between major ribs, spaced 4" (102 mm) on center panel; normal-run where ribs protrude from panel plane, viewed from exterior, reverse-run where ribs recede from panel plane, viewed from exterior.</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Size: 36" (914 mm) cover width, lengths indicated on drawings.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r>
    </w:p>
    <w:p>
      <w:pPr>
        <w:pStyle w:val="ManuSpec2"/>
        <w:numPr>
          <w:ilvl w:val="0"/>
          <w:numId w:val="0"/>
        </w:numPr>
        <w:ind w:hanging="720" w:left="1440" w:right="0"/>
        <w:jc w:val="both"/>
        <w:rPr/>
      </w:pPr>
      <w:r>
        <w:rPr>
          <w:rFonts w:cs="Calibri" w:ascii="Calibri" w:hAnsi="Calibri"/>
          <w:b/>
          <w:sz w:val="24"/>
          <w:szCs w:val="24"/>
        </w:rPr>
        <w:tab/>
      </w:r>
      <w:r>
        <w:rPr>
          <w:rFonts w:cs="Calibri" w:ascii="Calibri" w:hAnsi="Calibri"/>
          <w:sz w:val="24"/>
          <w:szCs w:val="24"/>
        </w:rPr>
        <w:t xml:space="preserve"> </w:t>
      </w:r>
    </w:p>
    <w:p>
      <w:pPr>
        <w:pStyle w:val="Normal"/>
        <w:ind w:hanging="720" w:left="1440" w:right="0"/>
        <w:rPr>
          <w:rFonts w:ascii="Calibri" w:hAnsi="Calibri" w:cs="Calibri"/>
          <w:sz w:val="24"/>
          <w:szCs w:val="24"/>
        </w:rPr>
      </w:pPr>
      <w:r>
        <w:rPr>
          <w:rFonts w:cs="Calibri" w:ascii="Calibri" w:hAnsi="Calibri"/>
          <w:sz w:val="24"/>
          <w:szCs w:val="24"/>
        </w:rPr>
        <w:t xml:space="preserve">A. </w:t>
        <w:tab/>
        <w:t>Material: Galvalume steel sheet conforming to ASTM A792, AZ55 coating for bare; AZ50 coating for painted; [24 or 26] gauge sheet thickness.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rFonts w:ascii="Calibri" w:hAnsi="Calibri" w:cs="Calibri"/>
          <w:b/>
          <w:sz w:val="24"/>
          <w:szCs w:val="24"/>
        </w:rPr>
      </w:pPr>
      <w:r>
        <w:rPr>
          <w:rFonts w:cs="Calibri" w:ascii="Calibri" w:hAnsi="Calibri"/>
          <w:b/>
          <w:sz w:val="24"/>
          <w:szCs w:val="24"/>
        </w:rPr>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58"/>
        </w:numPr>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58"/>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58"/>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58"/>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58"/>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58"/>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58"/>
        </w:numPr>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color w:val="000000"/>
          <w:sz w:val="24"/>
          <w:szCs w:val="24"/>
        </w:rPr>
        <w:t>G60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w:t>
      </w:r>
    </w:p>
    <w:p>
      <w:pPr>
        <w:pStyle w:val="PR1"/>
        <w:numPr>
          <w:ilvl w:val="4"/>
          <w:numId w:val="58"/>
        </w:numPr>
        <w:rPr>
          <w:rFonts w:ascii="Calibri" w:hAnsi="Calibri" w:cs="Calibri"/>
          <w:sz w:val="24"/>
          <w:szCs w:val="24"/>
        </w:rPr>
      </w:pPr>
      <w:r>
        <w:rPr>
          <w:rFonts w:cs="Calibri" w:ascii="Calibri" w:hAnsi="Calibri"/>
          <w:sz w:val="24"/>
          <w:szCs w:val="24"/>
          <w:lang w:val="en-US"/>
        </w:rPr>
        <w:t xml:space="preserve">Light Transmitting Panel: </w:t>
      </w:r>
      <w:r>
        <w:rPr>
          <w:rFonts w:cs="Calibri" w:ascii="Calibri" w:hAnsi="Calibri"/>
          <w:sz w:val="24"/>
          <w:szCs w:val="24"/>
        </w:rPr>
        <w:t>Manufacturer's standard UV-resistant translucent panel, white, with haze value of not less than 90 percent when measured per ASTM D 1003</w:t>
      </w:r>
    </w:p>
    <w:p>
      <w:pPr>
        <w:pStyle w:val="PR1"/>
        <w:numPr>
          <w:ilvl w:val="4"/>
          <w:numId w:val="58"/>
        </w:numPr>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PR1"/>
        <w:numPr>
          <w:ilvl w:val="4"/>
          <w:numId w:val="58"/>
        </w:numPr>
        <w:rPr>
          <w:rFonts w:ascii="Calibri" w:hAnsi="Calibri" w:cs="Calibri"/>
          <w:sz w:val="24"/>
          <w:szCs w:val="24"/>
        </w:rPr>
      </w:pPr>
      <w:r>
        <w:rPr>
          <w:rFonts w:eastAsia="Calibri" w:cs="Calibri" w:ascii="Calibri" w:hAnsi="Calibri"/>
          <w:sz w:val="24"/>
          <w:szCs w:val="24"/>
          <w:lang w:val="en-US"/>
        </w:rPr>
        <w:t xml:space="preserve">       </w:t>
      </w:r>
      <w:r>
        <w:rPr>
          <w:rFonts w:cs="Calibri" w:ascii="Calibri" w:hAnsi="Calibri"/>
          <w:sz w:val="24"/>
          <w:szCs w:val="24"/>
          <w:lang w:val="en-US"/>
        </w:rPr>
        <w:t xml:space="preserve">Snow Guards: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panels</w:t>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2.5</w:t>
        <w:tab/>
        <w:t>FABRICATION</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rPr>
          <w:rFonts w:ascii="Calibri" w:hAnsi="Calibri" w:cs="Calibri"/>
          <w:b/>
          <w:sz w:val="24"/>
          <w:szCs w:val="24"/>
        </w:rPr>
      </w:pPr>
      <w:r>
        <w:rPr>
          <w:rFonts w:cs="Calibri" w:ascii="Calibri" w:hAnsi="Calibri"/>
          <w:b/>
          <w:sz w:val="24"/>
          <w:szCs w:val="24"/>
        </w:rPr>
      </w:r>
    </w:p>
    <w:p>
      <w:pPr>
        <w:pStyle w:val="Normal"/>
        <w:ind w:left="1440" w:right="0"/>
        <w:rPr/>
      </w:pPr>
      <w:r>
        <w:rPr>
          <w:rFonts w:cs="Calibri" w:ascii="Calibri" w:hAnsi="Calibri"/>
          <w:color w:val="FF0000"/>
          <w:sz w:val="24"/>
          <w:szCs w:val="24"/>
        </w:rPr>
        <w:t>Specifier Note:  Select from finish options below.  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8"/>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51"/>
        </w:numPr>
        <w:rPr>
          <w:rFonts w:ascii="Calibri" w:hAnsi="Calibri" w:cs="Calibri"/>
          <w:sz w:val="24"/>
          <w:szCs w:val="24"/>
        </w:rPr>
      </w:pPr>
      <w:r>
        <w:rPr>
          <w:rFonts w:cs="Calibri" w:ascii="Calibri" w:hAnsi="Calibri"/>
          <w:sz w:val="24"/>
          <w:szCs w:val="24"/>
        </w:rPr>
        <w:t xml:space="preserve">Metal Panel Color: </w:t>
      </w:r>
    </w:p>
    <w:p>
      <w:pPr>
        <w:pStyle w:val="Normal"/>
        <w:widowControl/>
        <w:numPr>
          <w:ilvl w:val="1"/>
          <w:numId w:val="6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64"/>
        </w:numPr>
        <w:rPr>
          <w:rFonts w:ascii="Calibri" w:hAnsi="Calibri" w:cs="Calibri"/>
          <w:sz w:val="24"/>
          <w:szCs w:val="24"/>
        </w:rPr>
      </w:pPr>
      <w:r>
        <w:rPr>
          <w:rFonts w:cs="Calibri" w:ascii="Calibri" w:hAnsi="Calibri"/>
          <w:sz w:val="24"/>
          <w:szCs w:val="24"/>
        </w:rPr>
        <w:t>Color: [Specify color.].</w:t>
      </w:r>
    </w:p>
    <w:p>
      <w:pPr>
        <w:pStyle w:val="Normal"/>
        <w:widowControl/>
        <w:numPr>
          <w:ilvl w:val="1"/>
          <w:numId w:val="64"/>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51"/>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ind w:hanging="360" w:left="1080" w:right="0"/>
        <w:rPr/>
      </w:pPr>
      <w:r>
        <w:rPr>
          <w:rFonts w:cs="Calibri" w:ascii="Calibri" w:hAnsi="Calibri"/>
          <w:sz w:val="24"/>
          <w:szCs w:val="24"/>
        </w:rPr>
        <w:t xml:space="preserve">B. </w:t>
        <w:tab/>
        <w:t xml:space="preserve">Modified Silicone-Polyester color coat applied to sight-exposed face of sheet after pretreatment and priming in accordance with coating manufacturer’s recommendations consisting of a nominal .20-.30 mil dry film thickness primer and a nominal dry film thickness of 0.7-0.8 mil color coat for a total 0.9-1.1 mil total system dry film thickness.  </w:t>
      </w:r>
    </w:p>
    <w:p>
      <w:pPr>
        <w:pStyle w:val="Normal"/>
        <w:tabs>
          <w:tab w:val="clear" w:pos="720"/>
          <w:tab w:val="left" w:pos="1600" w:leader="none"/>
        </w:tabs>
        <w:rPr>
          <w:rFonts w:ascii="Calibri" w:hAnsi="Calibri" w:cs="Calibri"/>
          <w:sz w:val="24"/>
          <w:szCs w:val="24"/>
        </w:rPr>
      </w:pPr>
      <w:r>
        <w:rPr>
          <w:rFonts w:cs="Calibri" w:ascii="Calibri" w:hAnsi="Calibri"/>
          <w:sz w:val="24"/>
          <w:szCs w:val="24"/>
        </w:rPr>
      </w:r>
    </w:p>
    <w:p>
      <w:pPr>
        <w:pStyle w:val="Normal"/>
        <w:ind w:firstLine="72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1. Metal Panel Color: </w:t>
      </w:r>
    </w:p>
    <w:p>
      <w:pPr>
        <w:pStyle w:val="Normal"/>
        <w:widowControl/>
        <w:numPr>
          <w:ilvl w:val="0"/>
          <w:numId w:val="41"/>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41"/>
        </w:numPr>
        <w:rPr>
          <w:rFonts w:ascii="Calibri" w:hAnsi="Calibri" w:cs="Calibri"/>
          <w:sz w:val="24"/>
          <w:szCs w:val="24"/>
        </w:rPr>
      </w:pPr>
      <w:r>
        <w:rPr>
          <w:rFonts w:cs="Calibri" w:ascii="Calibri" w:hAnsi="Calibri"/>
          <w:sz w:val="24"/>
          <w:szCs w:val="24"/>
        </w:rPr>
        <w:t>Color: [Specify color.].</w:t>
      </w:r>
    </w:p>
    <w:p>
      <w:pPr>
        <w:pStyle w:val="Normal"/>
        <w:widowControl/>
        <w:numPr>
          <w:ilvl w:val="0"/>
          <w:numId w:val="41"/>
        </w:numPr>
        <w:rPr>
          <w:rFonts w:ascii="Calibri" w:hAnsi="Calibri" w:cs="Calibri"/>
          <w:sz w:val="24"/>
          <w:szCs w:val="24"/>
        </w:rPr>
      </w:pPr>
      <w:r>
        <w:rPr>
          <w:rFonts w:cs="Calibri" w:ascii="Calibri" w:hAnsi="Calibri"/>
          <w:sz w:val="24"/>
          <w:szCs w:val="24"/>
        </w:rPr>
        <w:t>Color: As indicated on panel schedule.</w:t>
      </w:r>
    </w:p>
    <w:p>
      <w:pPr>
        <w:pStyle w:val="Normal"/>
        <w:widowControl/>
        <w:ind w:firstLine="720" w:left="720" w:right="0"/>
        <w:rPr>
          <w:rFonts w:ascii="Calibri" w:hAnsi="Calibri" w:cs="Calibri"/>
          <w:sz w:val="24"/>
          <w:szCs w:val="24"/>
        </w:rPr>
      </w:pPr>
      <w:r>
        <w:rPr>
          <w:rFonts w:cs="Calibri" w:ascii="Calibri" w:hAnsi="Calibri"/>
          <w:sz w:val="24"/>
          <w:szCs w:val="24"/>
        </w:rPr>
        <w:t xml:space="preserve">2. Metal Related Trim/Accessories Color: </w:t>
      </w:r>
    </w:p>
    <w:p>
      <w:pPr>
        <w:pStyle w:val="Normal"/>
        <w:widowControl/>
        <w:numPr>
          <w:ilvl w:val="0"/>
          <w:numId w:val="45"/>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45"/>
        </w:numPr>
        <w:rPr>
          <w:rFonts w:ascii="Calibri" w:hAnsi="Calibri" w:cs="Calibri"/>
          <w:sz w:val="24"/>
          <w:szCs w:val="24"/>
        </w:rPr>
      </w:pPr>
      <w:r>
        <w:rPr>
          <w:rFonts w:cs="Calibri" w:ascii="Calibri" w:hAnsi="Calibri"/>
          <w:sz w:val="24"/>
          <w:szCs w:val="24"/>
        </w:rPr>
        <w:t>Color: [Specify color.].</w:t>
      </w:r>
    </w:p>
    <w:p>
      <w:pPr>
        <w:pStyle w:val="Normal"/>
        <w:widowControl/>
        <w:numPr>
          <w:ilvl w:val="0"/>
          <w:numId w:val="45"/>
        </w:numPr>
        <w:rPr>
          <w:rFonts w:ascii="Calibri" w:hAnsi="Calibri" w:cs="Calibri"/>
          <w:sz w:val="24"/>
          <w:szCs w:val="24"/>
        </w:rPr>
      </w:pPr>
      <w:r>
        <w:rPr>
          <w:rFonts w:cs="Calibri" w:ascii="Calibri" w:hAnsi="Calibri"/>
          <w:sz w:val="24"/>
          <w:szCs w:val="24"/>
        </w:rPr>
        <w:t>Color: As indicated on panel schedule.</w:t>
      </w:r>
    </w:p>
    <w:p>
      <w:pPr>
        <w:pStyle w:val="Normal"/>
        <w:ind w:left="1080" w:right="0"/>
        <w:rPr>
          <w:rFonts w:ascii="Calibri" w:hAnsi="Calibri" w:cs="Calibri"/>
          <w:sz w:val="24"/>
          <w:szCs w:val="24"/>
        </w:rPr>
      </w:pPr>
      <w:r>
        <w:rPr>
          <w:rFonts w:cs="Calibri" w:ascii="Calibri" w:hAnsi="Calibri"/>
          <w:sz w:val="24"/>
          <w:szCs w:val="24"/>
        </w:rPr>
      </w:r>
    </w:p>
    <w:p>
      <w:pPr>
        <w:pStyle w:val="Normal"/>
        <w:ind w:left="1080" w:right="0"/>
        <w:rPr>
          <w:rFonts w:ascii="Calibri" w:hAnsi="Calibri" w:cs="Calibri"/>
          <w:sz w:val="24"/>
          <w:szCs w:val="24"/>
        </w:rPr>
      </w:pPr>
      <w:r>
        <w:rPr>
          <w:rFonts w:cs="Calibri" w:ascii="Calibri" w:hAnsi="Calibri"/>
          <w:sz w:val="24"/>
          <w:szCs w:val="24"/>
        </w:rPr>
        <w:t>C.</w:t>
        <w:tab/>
        <w:t>Bare Galvalume steel sheet conforming to ASTM A792, AZ55</w:t>
      </w:r>
      <w:r>
        <w:rPr/>
        <w:t xml:space="preserve"> </w:t>
      </w:r>
    </w:p>
    <w:p>
      <w:pPr>
        <w:pStyle w:val="Normal"/>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pPr>
      <w:r>
        <w:rPr>
          <w:rFonts w:cs="Calibri" w:ascii="Calibri" w:hAnsi="Calibri"/>
          <w:b/>
          <w:sz w:val="24"/>
          <w:szCs w:val="24"/>
        </w:rPr>
        <w:t>2.7</w:t>
        <w:tab/>
        <w:t xml:space="preserve"> RELATED MATERIALS</w:t>
      </w:r>
    </w:p>
    <w:p>
      <w:pPr>
        <w:pStyle w:val="Normal"/>
        <w:rPr>
          <w:rFonts w:ascii="Calibri" w:hAnsi="Calibri" w:cs="Calibri"/>
          <w:b/>
          <w:sz w:val="24"/>
          <w:szCs w:val="24"/>
        </w:rPr>
      </w:pPr>
      <w:r>
        <w:rPr>
          <w:rFonts w:cs="Calibri" w:ascii="Calibri" w:hAnsi="Calibri"/>
          <w:b/>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rFonts w:ascii="Calibri" w:hAnsi="Calibri" w:cs="Calibri"/>
          <w:sz w:val="24"/>
          <w:szCs w:val="24"/>
        </w:rPr>
      </w:pPr>
      <w:r>
        <w:rPr>
          <w:rFonts w:cs="Calibri" w:ascii="Calibri" w:hAnsi="Calibri"/>
          <w:sz w:val="24"/>
          <w:szCs w:val="24"/>
        </w:rPr>
        <w:t>2. Plywood Deck: Refer to Division 6 Rough Carpentry Section</w:t>
      </w:r>
    </w:p>
    <w:p>
      <w:pPr>
        <w:pStyle w:val="Normal"/>
        <w:ind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2.8</w:t>
        <w:tab/>
        <w:t>SOURCE QUALITY</w:t>
      </w:r>
    </w:p>
    <w:p>
      <w:pPr>
        <w:pStyle w:val="Normal"/>
        <w:ind w:left="1440" w:right="0"/>
        <w:rPr>
          <w:rFonts w:ascii="Calibri" w:hAnsi="Calibri" w:cs="Calibri"/>
          <w:b/>
          <w:sz w:val="24"/>
          <w:szCs w:val="24"/>
        </w:rPr>
      </w:pPr>
      <w:r>
        <w:rPr>
          <w:rFonts w:cs="Calibri" w:ascii="Calibri" w:hAnsi="Calibri"/>
          <w:b/>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PART 3 EXECUTION</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1"/>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0" w:name="article-top"/>
      <w:bookmarkEnd w:id="0"/>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7"/>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7"/>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9"/>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8"/>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8"/>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8"/>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8"/>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3.2 </w:t>
        <w:tab/>
        <w:t>PREPARATION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32"/>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3"/>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metal curbs, to allow proper integration with metal panel. </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3.3</w:t>
        <w:tab/>
        <w:t xml:space="preserve">INSTALLATION </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3"/>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3"/>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3"/>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3"/>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3"/>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3"/>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3"/>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3"/>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3"/>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3"/>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3"/>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3"/>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6"/>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3"/>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3"/>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3"/>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6"/>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6"/>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6"/>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42"/>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42"/>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6"/>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numPr>
          <w:ilvl w:val="1"/>
          <w:numId w:val="31"/>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widowControl/>
        <w:numPr>
          <w:ilvl w:val="1"/>
          <w:numId w:val="31"/>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widowControl/>
        <w:numPr>
          <w:ilvl w:val="1"/>
          <w:numId w:val="31"/>
        </w:numPr>
        <w:rPr>
          <w:rFonts w:ascii="Calibri" w:hAnsi="Calibri" w:cs="Calibri"/>
          <w:sz w:val="24"/>
          <w:szCs w:val="24"/>
        </w:rPr>
      </w:pPr>
      <w:r>
        <w:rPr>
          <w:rFonts w:cs="Calibri" w:ascii="Calibri" w:hAnsi="Calibri"/>
          <w:sz w:val="24"/>
          <w:szCs w:val="24"/>
        </w:rPr>
        <w:t>Rake edges for a distance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6"/>
        </w:numPr>
        <w:rPr>
          <w:rFonts w:ascii="Calibri" w:hAnsi="Calibri" w:cs="Calibri"/>
          <w:sz w:val="24"/>
          <w:szCs w:val="24"/>
        </w:rPr>
      </w:pPr>
      <w:r>
        <w:rPr>
          <w:rFonts w:cs="Calibri" w:ascii="Calibri" w:hAnsi="Calibri"/>
          <w:sz w:val="24"/>
          <w:szCs w:val="24"/>
        </w:rPr>
        <w:t>Substrate boards</w:t>
      </w:r>
    </w:p>
    <w:p>
      <w:pPr>
        <w:pStyle w:val="Normal"/>
        <w:widowControl/>
        <w:numPr>
          <w:ilvl w:val="0"/>
          <w:numId w:val="50"/>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50"/>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 assemblies requiring miscellaneous metal framing. Related products might include hat-shaped furring channels, cold-rolled channels, Z-shaped and C-shaped channels, angles, struts and related fasteners.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widowControl/>
        <w:numPr>
          <w:ilvl w:val="0"/>
          <w:numId w:val="68"/>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8"/>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8"/>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Metal Curbs: Use .063 minimum thickness welded aluminum, or 18 gauge minimum welded stainless steel, factory-insulated, with integral cricket, and designed to fit metal panel module, sized to meet specification.</w:t>
      </w:r>
    </w:p>
    <w:p>
      <w:pPr>
        <w:pStyle w:val="Normal"/>
        <w:widowControl/>
        <w:rPr>
          <w:rFonts w:ascii="Calibri" w:hAnsi="Calibri" w:cs="Calibri"/>
          <w:b/>
          <w:sz w:val="24"/>
          <w:szCs w:val="24"/>
        </w:rPr>
      </w:pPr>
      <w:r>
        <w:rPr>
          <w:rFonts w:cs="Calibri" w:ascii="Calibri" w:hAnsi="Calibri"/>
          <w:b/>
          <w:sz w:val="24"/>
          <w:szCs w:val="24"/>
        </w:rPr>
      </w:r>
    </w:p>
    <w:p>
      <w:pPr>
        <w:pStyle w:val="Normal"/>
        <w:widowControl/>
        <w:rPr>
          <w:rFonts w:ascii="Calibri" w:hAnsi="Calibri" w:cs="Calibri"/>
          <w:b/>
          <w:sz w:val="24"/>
          <w:szCs w:val="24"/>
        </w:rPr>
      </w:pPr>
      <w:r>
        <w:rPr>
          <w:rFonts w:cs="Calibri" w:ascii="Calibri" w:hAnsi="Calibri"/>
          <w:b/>
          <w:sz w:val="24"/>
          <w:szCs w:val="24"/>
        </w:rPr>
        <w:t>3.4</w:t>
        <w:tab/>
        <w:t>FIELD QUALITY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3.5</w:t>
        <w:tab/>
        <w:t>CLEANING</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5"/>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5"/>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5"/>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5"/>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3.7</w:t>
        <w:tab/>
        <w:t>SCHEDULES</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30"/>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6/20</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00" w:leader="none"/>
      </w:tabs>
      <w:rPr>
        <w:rFonts w:ascii="Cambria" w:hAnsi="Cambria" w:cs="Cambria"/>
      </w:rPr>
    </w:pPr>
    <w:r>
      <w:rPr>
        <w:rFonts w:cs="Cambria" w:ascii="Cambria" w:hAnsi="Cambria"/>
      </w:rPr>
      <w:t>McElroy Metal Roof &amp; Wall Panel                                                       07 42 13.13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4">
    <w:lvl w:ilvl="0">
      <w:start w:val="1"/>
      <w:numFmt w:val="lowerLetter"/>
      <w:lvlText w:val="%1."/>
      <w:lvlJc w:val="left"/>
      <w:pPr>
        <w:tabs>
          <w:tab w:val="num" w:pos="0"/>
        </w:tabs>
        <w:ind w:left="2520" w:hanging="360"/>
      </w:pPr>
    </w:lvl>
  </w:abstractNum>
  <w:abstractNum w:abstractNumId="15">
    <w:lvl w:ilvl="0">
      <w:start w:val="1"/>
      <w:numFmt w:val="lowerLetter"/>
      <w:lvlText w:val="%1."/>
      <w:lvlJc w:val="left"/>
      <w:pPr>
        <w:tabs>
          <w:tab w:val="num" w:pos="0"/>
        </w:tabs>
        <w:ind w:left="2160" w:hanging="360"/>
      </w:pPr>
    </w:lvl>
  </w:abstractNum>
  <w:abstractNum w:abstractNumId="16">
    <w:lvl w:ilvl="0">
      <w:start w:val="1"/>
      <w:numFmt w:val="decimal"/>
      <w:lvlText w:val="%1."/>
      <w:lvlJc w:val="left"/>
      <w:pPr>
        <w:tabs>
          <w:tab w:val="num" w:pos="0"/>
        </w:tabs>
        <w:ind w:left="1800" w:hanging="360"/>
      </w:pPr>
    </w:lvl>
  </w:abstractNum>
  <w:abstractNum w:abstractNumId="17">
    <w:lvl w:ilvl="0">
      <w:start w:val="1"/>
      <w:numFmt w:val="decimal"/>
      <w:lvlText w:val="%1."/>
      <w:lvlJc w:val="left"/>
      <w:pPr>
        <w:tabs>
          <w:tab w:val="num" w:pos="0"/>
        </w:tabs>
        <w:ind w:left="1800" w:hanging="360"/>
      </w:pPr>
      <w:rPr/>
    </w:lvl>
  </w:abstractNum>
  <w:abstractNum w:abstractNumId="18">
    <w:lvl w:ilvl="0">
      <w:start w:val="1"/>
      <w:numFmt w:val="lowerLetter"/>
      <w:lvlText w:val="%1."/>
      <w:lvlJc w:val="left"/>
      <w:pPr>
        <w:tabs>
          <w:tab w:val="num" w:pos="0"/>
        </w:tabs>
        <w:ind w:left="2520" w:hanging="360"/>
      </w:p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lvl w:ilvl="0">
      <w:start w:val="1"/>
      <w:numFmt w:val="upperLetter"/>
      <w:lvlText w:val="%1."/>
      <w:lvlJc w:val="left"/>
      <w:pPr>
        <w:tabs>
          <w:tab w:val="num" w:pos="0"/>
        </w:tabs>
        <w:ind w:left="108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rPr/>
    </w:lvl>
  </w:abstractNum>
  <w:abstractNum w:abstractNumId="25">
    <w:lvl w:ilvl="0">
      <w:start w:val="1"/>
      <w:numFmt w:val="decimal"/>
      <w:lvlText w:val="%1."/>
      <w:lvlJc w:val="left"/>
      <w:pPr>
        <w:tabs>
          <w:tab w:val="num" w:pos="0"/>
        </w:tabs>
        <w:ind w:left="1800" w:hanging="360"/>
      </w:pPr>
    </w:lvl>
  </w:abstractNum>
  <w:abstractNum w:abstractNumId="2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7">
    <w:lvl w:ilvl="0">
      <w:start w:val="1"/>
      <w:numFmt w:val="upperLetter"/>
      <w:lvlText w:val="%1."/>
      <w:lvlJc w:val="left"/>
      <w:pPr>
        <w:tabs>
          <w:tab w:val="num" w:pos="0"/>
        </w:tabs>
        <w:ind w:left="1080" w:hanging="360"/>
      </w:pPr>
    </w:lvl>
  </w:abstractNum>
  <w:abstractNum w:abstractNumId="28">
    <w:lvl w:ilvl="0">
      <w:start w:val="1"/>
      <w:numFmt w:val="upperLetter"/>
      <w:lvlText w:val="%1."/>
      <w:lvlJc w:val="left"/>
      <w:pPr>
        <w:tabs>
          <w:tab w:val="num" w:pos="0"/>
        </w:tabs>
        <w:ind w:left="1080" w:hanging="360"/>
      </w:pPr>
      <w:rPr>
        <w:rFonts w:ascii="Calibri" w:hAnsi="Calibri" w:cs="Calibri"/>
      </w:rPr>
    </w:lvl>
  </w:abstractNum>
  <w:abstractNum w:abstractNumId="29">
    <w:lvl w:ilvl="0">
      <w:start w:val="1"/>
      <w:numFmt w:val="decimal"/>
      <w:lvlText w:val="%1."/>
      <w:lvlJc w:val="left"/>
      <w:pPr>
        <w:tabs>
          <w:tab w:val="num" w:pos="0"/>
        </w:tabs>
        <w:ind w:left="1890" w:hanging="360"/>
      </w:pPr>
    </w:lvl>
  </w:abstractNum>
  <w:abstractNum w:abstractNumId="30">
    <w:lvl w:ilvl="0">
      <w:start w:val="1"/>
      <w:numFmt w:val="upperLetter"/>
      <w:lvlText w:val="%1."/>
      <w:lvlJc w:val="left"/>
      <w:pPr>
        <w:tabs>
          <w:tab w:val="num" w:pos="0"/>
        </w:tabs>
        <w:ind w:left="1080" w:hanging="360"/>
      </w:pPr>
      <w:rPr/>
    </w:lvl>
  </w:abstractNum>
  <w:abstractNum w:abstractNumId="31">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2">
    <w:lvl w:ilvl="0">
      <w:start w:val="1"/>
      <w:numFmt w:val="upperLetter"/>
      <w:lvlText w:val="%1."/>
      <w:lvlJc w:val="left"/>
      <w:pPr>
        <w:tabs>
          <w:tab w:val="num" w:pos="0"/>
        </w:tabs>
        <w:ind w:left="1080" w:hanging="360"/>
      </w:pPr>
      <w:rPr/>
    </w:lvl>
  </w:abstractNum>
  <w:abstractNum w:abstractNumId="3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4">
    <w:lvl w:ilvl="0">
      <w:start w:val="1"/>
      <w:numFmt w:val="decimal"/>
      <w:lvlText w:val="%1."/>
      <w:lvlJc w:val="left"/>
      <w:pPr>
        <w:tabs>
          <w:tab w:val="num" w:pos="0"/>
        </w:tabs>
        <w:ind w:left="1800" w:hanging="360"/>
      </w:pPr>
      <w:rPr/>
    </w:lvl>
  </w:abstractNum>
  <w:abstractNum w:abstractNumId="35">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6">
    <w:lvl w:ilvl="0">
      <w:start w:val="1"/>
      <w:numFmt w:val="decimal"/>
      <w:lvlText w:val="%1."/>
      <w:lvlJc w:val="left"/>
      <w:pPr>
        <w:tabs>
          <w:tab w:val="num" w:pos="0"/>
        </w:tabs>
        <w:ind w:left="1800" w:hanging="360"/>
      </w:pPr>
    </w:lvl>
  </w:abstractNum>
  <w:abstractNum w:abstractNumId="37">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8">
    <w:lvl w:ilvl="0">
      <w:start w:val="1"/>
      <w:numFmt w:val="decimal"/>
      <w:lvlText w:val="%1."/>
      <w:lvlJc w:val="left"/>
      <w:pPr>
        <w:tabs>
          <w:tab w:val="num" w:pos="0"/>
        </w:tabs>
        <w:ind w:left="1800" w:hanging="360"/>
      </w:pPr>
      <w:rPr/>
    </w:lvl>
  </w:abstractNum>
  <w:abstractNum w:abstractNumId="39">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lvl w:ilvl="0">
      <w:start w:val="1"/>
      <w:numFmt w:val="decimal"/>
      <w:lvlText w:val="%1."/>
      <w:lvlJc w:val="left"/>
      <w:pPr>
        <w:tabs>
          <w:tab w:val="num" w:pos="0"/>
        </w:tabs>
        <w:ind w:left="1800" w:hanging="360"/>
      </w:pPr>
      <w:rPr/>
    </w:lvl>
  </w:abstractNum>
  <w:abstractNum w:abstractNumId="41">
    <w:lvl w:ilvl="0">
      <w:start w:val="1"/>
      <w:numFmt w:val="lowerLetter"/>
      <w:lvlText w:val="%1."/>
      <w:lvlJc w:val="left"/>
      <w:pPr>
        <w:tabs>
          <w:tab w:val="num" w:pos="0"/>
        </w:tabs>
        <w:ind w:left="2520" w:hanging="360"/>
      </w:pPr>
    </w:lvl>
  </w:abstractNum>
  <w:abstractNum w:abstractNumId="42">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4">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45">
    <w:lvl w:ilvl="0">
      <w:start w:val="1"/>
      <w:numFmt w:val="lowerLetter"/>
      <w:lvlText w:val="%1."/>
      <w:lvlJc w:val="left"/>
      <w:pPr>
        <w:tabs>
          <w:tab w:val="num" w:pos="0"/>
        </w:tabs>
        <w:ind w:left="2520" w:hanging="360"/>
      </w:pPr>
    </w:lvl>
  </w:abstractNum>
  <w:abstractNum w:abstractNumId="46">
    <w:lvl w:ilvl="0">
      <w:start w:val="1"/>
      <w:numFmt w:val="lowerLetter"/>
      <w:lvlText w:val="%1."/>
      <w:lvlJc w:val="left"/>
      <w:pPr>
        <w:tabs>
          <w:tab w:val="num" w:pos="0"/>
        </w:tabs>
        <w:ind w:left="2520" w:hanging="360"/>
      </w:pPr>
    </w:lvl>
  </w:abstractNum>
  <w:abstractNum w:abstractNumId="47">
    <w:lvl w:ilvl="0">
      <w:start w:val="1"/>
      <w:numFmt w:val="upperLetter"/>
      <w:lvlText w:val="%1."/>
      <w:lvlJc w:val="left"/>
      <w:pPr>
        <w:tabs>
          <w:tab w:val="num" w:pos="0"/>
        </w:tabs>
        <w:ind w:left="990" w:hanging="360"/>
      </w:pPr>
      <w:rPr/>
    </w:lvl>
  </w:abstractNum>
  <w:abstractNum w:abstractNumId="48">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9">
    <w:lvl w:ilvl="0">
      <w:start w:val="1"/>
      <w:numFmt w:val="upperLetter"/>
      <w:lvlText w:val="%1."/>
      <w:lvlJc w:val="left"/>
      <w:pPr>
        <w:tabs>
          <w:tab w:val="num" w:pos="0"/>
        </w:tabs>
        <w:ind w:left="1080" w:hanging="360"/>
      </w:pPr>
      <w:rPr/>
    </w:lvl>
  </w:abstractNum>
  <w:abstractNum w:abstractNumId="50">
    <w:lvl w:ilvl="0">
      <w:start w:val="1"/>
      <w:numFmt w:val="lowerLetter"/>
      <w:lvlText w:val="%1."/>
      <w:lvlJc w:val="left"/>
      <w:pPr>
        <w:tabs>
          <w:tab w:val="num" w:pos="0"/>
        </w:tabs>
        <w:ind w:left="2430" w:hanging="360"/>
      </w:pPr>
    </w:lvl>
  </w:abstractNum>
  <w:abstractNum w:abstractNumId="51">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2">
    <w:lvl w:ilvl="0">
      <w:start w:val="1"/>
      <w:numFmt w:val="upperLetter"/>
      <w:lvlText w:val="%1."/>
      <w:lvlJc w:val="left"/>
      <w:pPr>
        <w:tabs>
          <w:tab w:val="num" w:pos="0"/>
        </w:tabs>
        <w:ind w:left="1080" w:hanging="360"/>
      </w:pPr>
      <w:rPr/>
    </w:lvl>
  </w:abstractNum>
  <w:abstractNum w:abstractNumId="53">
    <w:lvl w:ilvl="0">
      <w:start w:val="1"/>
      <w:numFmt w:val="upperLetter"/>
      <w:lvlText w:val="%1."/>
      <w:lvlJc w:val="left"/>
      <w:pPr>
        <w:tabs>
          <w:tab w:val="num" w:pos="0"/>
        </w:tabs>
        <w:ind w:left="1080" w:hanging="360"/>
      </w:pPr>
      <w:rPr/>
    </w:lvl>
  </w:abstractNum>
  <w:abstractNum w:abstractNumId="54">
    <w:lvl w:ilvl="0">
      <w:start w:val="1"/>
      <w:numFmt w:val="upperLetter"/>
      <w:lvlText w:val="%1."/>
      <w:lvlJc w:val="left"/>
      <w:pPr>
        <w:tabs>
          <w:tab w:val="num" w:pos="0"/>
        </w:tabs>
        <w:ind w:left="1080" w:hanging="360"/>
      </w:pPr>
      <w:rPr/>
    </w:lvl>
  </w:abstractNum>
  <w:abstractNum w:abstractNumId="55">
    <w:lvl w:ilvl="0">
      <w:start w:val="1"/>
      <w:numFmt w:val="decimal"/>
      <w:lvlText w:val="%1."/>
      <w:lvlJc w:val="left"/>
      <w:pPr>
        <w:tabs>
          <w:tab w:val="num" w:pos="0"/>
        </w:tabs>
        <w:ind w:left="1800" w:hanging="360"/>
      </w:pPr>
      <w:rPr/>
    </w:lvl>
  </w:abstractNum>
  <w:abstractNum w:abstractNumId="56">
    <w:lvl w:ilvl="0">
      <w:start w:val="1"/>
      <w:numFmt w:val="decimal"/>
      <w:lvlText w:val="%1."/>
      <w:lvlJc w:val="left"/>
      <w:pPr>
        <w:tabs>
          <w:tab w:val="num" w:pos="0"/>
        </w:tabs>
        <w:ind w:left="1800" w:hanging="360"/>
      </w:pPr>
      <w:rPr/>
    </w:lvl>
  </w:abstractNum>
  <w:abstractNum w:abstractNumId="57">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8">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59">
    <w:lvl w:ilvl="0">
      <w:start w:val="1"/>
      <w:numFmt w:val="upperLetter"/>
      <w:lvlText w:val="%1."/>
      <w:lvlJc w:val="left"/>
      <w:pPr>
        <w:tabs>
          <w:tab w:val="num" w:pos="0"/>
        </w:tabs>
        <w:ind w:left="1080" w:hanging="360"/>
      </w:pPr>
      <w:rPr>
        <w:sz w:val="24"/>
        <w:szCs w:val="24"/>
        <w:rFonts w:ascii="Calibri" w:hAnsi="Calibri" w:cs="Calibri"/>
      </w:rPr>
    </w:lvl>
  </w:abstractNum>
  <w:abstractNum w:abstractNumId="60">
    <w:lvl w:ilvl="0">
      <w:start w:val="1"/>
      <w:numFmt w:val="upperLetter"/>
      <w:lvlText w:val="%1."/>
      <w:lvlJc w:val="left"/>
      <w:pPr>
        <w:tabs>
          <w:tab w:val="num" w:pos="0"/>
        </w:tabs>
        <w:ind w:left="1080" w:hanging="360"/>
      </w:pPr>
      <w:rPr/>
    </w:lvl>
  </w:abstractNum>
  <w:abstractNum w:abstractNumId="61">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62">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3">
    <w:lvl w:ilvl="0">
      <w:start w:val="1"/>
      <w:numFmt w:val="decimal"/>
      <w:lvlText w:val="%1."/>
      <w:lvlJc w:val="left"/>
      <w:pPr>
        <w:tabs>
          <w:tab w:val="num" w:pos="0"/>
        </w:tabs>
        <w:ind w:left="1800" w:hanging="360"/>
      </w:pPr>
    </w:lvl>
  </w:abstractNum>
  <w:abstractNum w:abstractNumId="64">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5">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6">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7">
    <w:lvl w:ilvl="0">
      <w:start w:val="1"/>
      <w:numFmt w:val="decimal"/>
      <w:lvlText w:val="%1."/>
      <w:lvlJc w:val="left"/>
      <w:pPr>
        <w:tabs>
          <w:tab w:val="num" w:pos="0"/>
        </w:tabs>
        <w:ind w:left="1800" w:hanging="360"/>
      </w:pPr>
      <w:rPr/>
    </w:lvl>
  </w:abstractNum>
  <w:abstractNum w:abstractNumId="68">
    <w:lvl w:ilvl="0">
      <w:start w:val="1"/>
      <w:numFmt w:val="lowerLetter"/>
      <w:lvlText w:val="%1."/>
      <w:lvlJc w:val="left"/>
      <w:pPr>
        <w:tabs>
          <w:tab w:val="num" w:pos="0"/>
        </w:tabs>
        <w:ind w:left="2430" w:hanging="360"/>
      </w:pPr>
    </w:lvl>
  </w:abstractNum>
  <w:abstractNum w:abstractNumId="69">
    <w:lvl w:ilvl="0">
      <w:start w:val="1"/>
      <w:numFmt w:val="decimal"/>
      <w:lvlText w:val="%1."/>
      <w:lvlJc w:val="left"/>
      <w:pPr>
        <w:tabs>
          <w:tab w:val="num" w:pos="0"/>
        </w:tabs>
        <w:ind w:left="1800" w:hanging="360"/>
      </w:pPr>
      <w:rPr/>
    </w:lvl>
  </w:abstractNum>
  <w:abstractNum w:abstractNumId="70">
    <w:lvl w:ilvl="0">
      <w:start w:val="1"/>
      <w:numFmt w:val="upperLetter"/>
      <w:lvlText w:val="%1."/>
      <w:lvlJc w:val="left"/>
      <w:pPr>
        <w:tabs>
          <w:tab w:val="num" w:pos="0"/>
        </w:tabs>
        <w:ind w:left="1080" w:hanging="360"/>
      </w:pPr>
      <w:rPr/>
    </w:lvl>
  </w:abstractNum>
  <w:abstractNum w:abstractNumId="7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61"/>
    <w:lvlOverride w:ilvl="0">
      <w:startOverride w:val="1"/>
    </w:lvlOverride>
    <w:lvlOverride w:ilvl="1">
      <w:startOverride w:val="1"/>
    </w:lvlOverride>
    <w:lvlOverride w:ilvl="2">
      <w:startOverride w:val="1"/>
    </w:lvlOverride>
    <w:lvlOverride w:ilvl="3">
      <w:startOverride w:val="1"/>
    </w:lvlOverride>
  </w:num>
  <w:num w:numId="73">
    <w:abstractNumId w:val="61"/>
    <w:lvlOverride w:ilvl="0">
      <w:startOverride w:val="1"/>
    </w:lvlOverride>
    <w:lvlOverride w:ilvl="1">
      <w:startOverride w:val="1"/>
    </w:lvlOverride>
    <w:lvlOverride w:ilvl="2">
      <w:startOverride w:val="1"/>
    </w:lvlOverride>
  </w:num>
  <w:num w:numId="74">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 w:numId="75">
    <w:abstractNumId w:val="61"/>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 w:hAnsi="FAvantGarde" w:eastAsia="Times New Roman" w:cs="FAvantGarde"/>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7z0">
    <w:name w:val="WW8Num17z0"/>
    <w:qFormat/>
    <w:rPr/>
  </w:style>
  <w:style w:type="character" w:styleId="WW8Num18z1">
    <w:name w:val="WW8Num18z1"/>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8z0">
    <w:name w:val="WW8Num28z0"/>
    <w:qFormat/>
    <w:rPr>
      <w:rFonts w:ascii="Calibri" w:hAnsi="Calibri" w:cs="Calibri"/>
    </w:rPr>
  </w:style>
  <w:style w:type="character" w:styleId="WW8Num30z0">
    <w:name w:val="WW8Num30z0"/>
    <w:qFormat/>
    <w:rPr/>
  </w:style>
  <w:style w:type="character" w:styleId="WW8Num32z0">
    <w:name w:val="WW8Num32z0"/>
    <w:qFormat/>
    <w:rPr/>
  </w:style>
  <w:style w:type="character" w:styleId="WW8Num34z0">
    <w:name w:val="WW8Num34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4z0">
    <w:name w:val="WW8Num44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1z0">
    <w:name w:val="WW8Num51z0"/>
    <w:qFormat/>
    <w:rPr>
      <w:rFonts w:ascii="Calibri" w:hAnsi="Calibri" w:cs="Calibri"/>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9z0">
    <w:name w:val="WW8Num59z0"/>
    <w:qFormat/>
    <w:rPr>
      <w:rFonts w:ascii="Calibri" w:hAnsi="Calibri" w:cs="Calibri"/>
      <w:sz w:val="24"/>
      <w:szCs w:val="24"/>
    </w:rPr>
  </w:style>
  <w:style w:type="character" w:styleId="WW8Num60z0">
    <w:name w:val="WW8Num60z0"/>
    <w:qFormat/>
    <w:rPr/>
  </w:style>
  <w:style w:type="character" w:styleId="WW8Num61z2">
    <w:name w:val="WW8Num61z2"/>
    <w:qFormat/>
    <w:rPr>
      <w:rFonts w:ascii="Calibri" w:hAnsi="Calibri" w:eastAsia="Times New Roman" w:cs="Calibri"/>
    </w:rPr>
  </w:style>
  <w:style w:type="character" w:styleId="WW8Num62z0">
    <w:name w:val="WW8Num62z0"/>
    <w:qFormat/>
    <w:rPr/>
  </w:style>
  <w:style w:type="character" w:styleId="WW8Num64z0">
    <w:name w:val="WW8Num64z0"/>
    <w:qFormat/>
    <w:rPr>
      <w:rFonts w:ascii="Calibri" w:hAnsi="Calibri" w:cs="Calibri"/>
    </w:rPr>
  </w:style>
  <w:style w:type="character" w:styleId="WW8Num65z0">
    <w:name w:val="WW8Num65z0"/>
    <w:qFormat/>
    <w:rPr/>
  </w:style>
  <w:style w:type="character" w:styleId="WW8Num67z0">
    <w:name w:val="WW8Num67z0"/>
    <w:qFormat/>
    <w:rPr/>
  </w:style>
  <w:style w:type="character" w:styleId="WW8Num69z0">
    <w:name w:val="WW8Num69z0"/>
    <w:qFormat/>
    <w:rPr/>
  </w:style>
  <w:style w:type="character" w:styleId="WW8Num70z0">
    <w:name w:val="WW8Num70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 w:hAnsi="FAvantGarde" w:cs="FAvantGarde"/>
    </w:rPr>
  </w:style>
  <w:style w:type="character" w:styleId="CommentSubjectChar">
    <w:name w:val="Comment Subject Char"/>
    <w:qFormat/>
    <w:rPr>
      <w:rFonts w:ascii="FAvantGarde" w:hAnsi="FAvantGarde" w:cs="FAvantGarde"/>
      <w:b/>
      <w:bCs/>
    </w:rPr>
  </w:style>
  <w:style w:type="character" w:styleId="FooterChar">
    <w:name w:val="Footer Char"/>
    <w:qFormat/>
    <w:rPr>
      <w:rFonts w:ascii="FAvantGarde" w:hAnsi="FAvantGarde" w:cs="FAvantGarde"/>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61"/>
      </w:numPr>
      <w:spacing w:before="100" w:after="0"/>
      <w:outlineLvl w:val="0"/>
    </w:pPr>
    <w:rPr>
      <w:rFonts w:ascii="FAvantGarde" w:hAnsi="FAvantGarde" w:cs="FAvantGarde"/>
      <w:b/>
      <w:sz w:val="18"/>
    </w:rPr>
  </w:style>
  <w:style w:type="paragraph" w:styleId="ManuSpec2">
    <w:name w:val="ManuSpec[2]"/>
    <w:basedOn w:val="Normal"/>
    <w:qFormat/>
    <w:pPr>
      <w:numPr>
        <w:ilvl w:val="0"/>
        <w:numId w:val="61"/>
      </w:numPr>
      <w:tabs>
        <w:tab w:val="clear" w:pos="720"/>
        <w:tab w:val="left" w:pos="504" w:leader="none"/>
      </w:tabs>
      <w:spacing w:before="100" w:after="0"/>
      <w:outlineLvl w:val="1"/>
    </w:pPr>
    <w:rPr>
      <w:rFonts w:ascii="FAvantGarde" w:hAnsi="FAvantGarde" w:cs="FAvantGarde"/>
      <w:sz w:val="18"/>
    </w:rPr>
  </w:style>
  <w:style w:type="paragraph" w:styleId="ManuSpec3">
    <w:name w:val="ManuSpec[3]"/>
    <w:basedOn w:val="Normal"/>
    <w:qFormat/>
    <w:pPr>
      <w:numPr>
        <w:ilvl w:val="0"/>
        <w:numId w:val="61"/>
      </w:numPr>
      <w:tabs>
        <w:tab w:val="clear" w:pos="720"/>
        <w:tab w:val="left" w:pos="936" w:leader="none"/>
      </w:tabs>
      <w:spacing w:before="100" w:after="0"/>
      <w:ind w:hanging="432" w:left="936" w:right="0"/>
      <w:outlineLvl w:val="2"/>
    </w:pPr>
    <w:rPr>
      <w:rFonts w:ascii="FAvantGarde" w:hAnsi="FAvantGarde" w:cs="FAvantGarde"/>
      <w:sz w:val="18"/>
    </w:rPr>
  </w:style>
  <w:style w:type="paragraph" w:styleId="ManuSpec4">
    <w:name w:val="ManuSpec[4]"/>
    <w:basedOn w:val="Normal"/>
    <w:qFormat/>
    <w:pPr>
      <w:numPr>
        <w:ilvl w:val="0"/>
        <w:numId w:val="61"/>
      </w:numPr>
      <w:tabs>
        <w:tab w:val="clear" w:pos="720"/>
        <w:tab w:val="left" w:pos="1368" w:leader="none"/>
      </w:tabs>
      <w:spacing w:before="100" w:after="0"/>
      <w:ind w:hanging="432" w:left="1368" w:right="0"/>
      <w:outlineLvl w:val="3"/>
    </w:pPr>
    <w:rPr>
      <w:rFonts w:ascii="FAvantGarde" w:hAnsi="FAvantGarde" w:cs="FAvantGarde"/>
      <w:sz w:val="18"/>
    </w:rPr>
  </w:style>
  <w:style w:type="paragraph" w:styleId="ManuSpec5">
    <w:name w:val="ManuSpec[5]"/>
    <w:basedOn w:val="Normal"/>
    <w:qFormat/>
    <w:pPr>
      <w:numPr>
        <w:ilvl w:val="0"/>
        <w:numId w:val="61"/>
      </w:numPr>
      <w:tabs>
        <w:tab w:val="clear" w:pos="720"/>
        <w:tab w:val="left" w:pos="1800" w:leader="none"/>
      </w:tabs>
      <w:spacing w:before="100" w:after="0"/>
      <w:ind w:hanging="432" w:left="1800" w:right="0"/>
      <w:outlineLvl w:val="4"/>
    </w:pPr>
    <w:rPr>
      <w:rFonts w:ascii="FAvantGarde" w:hAnsi="FAvantGarde" w:cs="FAvantGarde"/>
      <w:sz w:val="18"/>
    </w:rPr>
  </w:style>
  <w:style w:type="paragraph" w:styleId="ManuSpec6">
    <w:name w:val="ManuSpec[6]"/>
    <w:basedOn w:val="Normal"/>
    <w:qFormat/>
    <w:pPr>
      <w:numPr>
        <w:ilvl w:val="0"/>
        <w:numId w:val="61"/>
      </w:numPr>
      <w:tabs>
        <w:tab w:val="clear" w:pos="720"/>
        <w:tab w:val="left" w:pos="2232" w:leader="none"/>
      </w:tabs>
      <w:spacing w:before="100" w:after="0"/>
      <w:ind w:hanging="432" w:left="2232" w:right="0"/>
      <w:outlineLvl w:val="5"/>
    </w:pPr>
    <w:rPr>
      <w:rFonts w:ascii="FAvantGarde" w:hAnsi="FAvantGarde" w:cs="FAvantGarde"/>
      <w:sz w:val="18"/>
    </w:rPr>
  </w:style>
  <w:style w:type="paragraph" w:styleId="ManuSpec7">
    <w:name w:val="ManuSpec[7]"/>
    <w:basedOn w:val="Normal"/>
    <w:qFormat/>
    <w:pPr>
      <w:numPr>
        <w:ilvl w:val="0"/>
        <w:numId w:val="61"/>
      </w:numPr>
      <w:tabs>
        <w:tab w:val="clear" w:pos="720"/>
        <w:tab w:val="left" w:pos="2664" w:leader="none"/>
      </w:tabs>
      <w:spacing w:before="100" w:after="0"/>
      <w:ind w:hanging="432" w:left="2664" w:right="0"/>
      <w:outlineLvl w:val="6"/>
    </w:pPr>
    <w:rPr>
      <w:rFonts w:ascii="FAvantGarde" w:hAnsi="FAvantGarde" w:cs="FAvantGarde"/>
      <w:sz w:val="18"/>
    </w:rPr>
  </w:style>
  <w:style w:type="paragraph" w:styleId="ManuSpec8">
    <w:name w:val="ManuSpec[8]"/>
    <w:basedOn w:val="Normal"/>
    <w:qFormat/>
    <w:pPr>
      <w:numPr>
        <w:ilvl w:val="0"/>
        <w:numId w:val="61"/>
      </w:numPr>
      <w:tabs>
        <w:tab w:val="clear" w:pos="720"/>
        <w:tab w:val="left" w:pos="3096" w:leader="none"/>
      </w:tabs>
      <w:spacing w:before="100" w:after="0"/>
      <w:ind w:hanging="432" w:left="3096" w:right="0"/>
      <w:outlineLvl w:val="7"/>
    </w:pPr>
    <w:rPr>
      <w:rFonts w:ascii="FAvantGarde" w:hAnsi="FAvantGarde" w:cs="FAvantGarde"/>
      <w:sz w:val="18"/>
    </w:rPr>
  </w:style>
  <w:style w:type="paragraph" w:styleId="ManuSpec9">
    <w:name w:val="ManuSpec[9]"/>
    <w:basedOn w:val="Normal"/>
    <w:qFormat/>
    <w:pPr>
      <w:numPr>
        <w:ilvl w:val="0"/>
        <w:numId w:val="61"/>
      </w:numPr>
      <w:tabs>
        <w:tab w:val="clear" w:pos="720"/>
        <w:tab w:val="left" w:pos="3528" w:leader="none"/>
      </w:tabs>
      <w:spacing w:before="100" w:after="0"/>
      <w:ind w:hanging="432" w:left="3528" w:right="0"/>
      <w:outlineLvl w:val="8"/>
    </w:pPr>
    <w:rPr>
      <w:rFonts w:ascii="FAvantGarde" w:hAnsi="FAvantGarde" w:cs="FAvantGarde"/>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 w:hAnsi="FAvantGarde" w:cs="FAvantGarde"/>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 w:hAnsi="FAvantGarde" w:cs="FAvantGarde"/>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13</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2020-06-11T17:56:00Z</dcterms:created>
  <dc:creator>linda messersmith</dc:creator>
  <dc:description/>
  <cp:keywords/>
  <dc:language>en-US</dc:language>
  <cp:lastModifiedBy>user</cp:lastModifiedBy>
  <cp:lastPrinted>2020-05-18T16:59:00Z</cp:lastPrinted>
  <dcterms:modified xsi:type="dcterms:W3CDTF">2020-06-18T21:38:00Z</dcterms:modified>
  <cp:revision>9</cp:revision>
  <dc:subject/>
  <dc:title>APPENDIX A</dc:title>
</cp:coreProperties>
</file>